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Ellington Credit Company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specified in its charter)</w:t>
      </w:r>
    </w:p>
    <w:p>
      <w:pPr>
        <w:sectPr>
          <w:pgSz w:w="11920" w:h="16838" w:orient="portrait"/>
          <w:cols w:equalWidth="0" w:num="1">
            <w:col w:w="11260"/>
          </w:cols>
          <w:pgMar w:left="340" w:top="1237" w:right="318" w:bottom="1440" w:gutter="0" w:footer="0" w:header="0"/>
        </w:sectPr>
      </w:pPr>
    </w:p>
    <w:p>
      <w:pPr>
        <w:spacing w:after="0" w:line="18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001-35896</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46-0687599</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6" w:lineRule="exact"/>
        <w:rPr>
          <w:sz w:val="24"/>
          <w:szCs w:val="24"/>
          <w:color w:val="auto"/>
        </w:rPr>
      </w:pPr>
    </w:p>
    <w:p>
      <w:pPr>
        <w:sectPr>
          <w:pgSz w:w="11920" w:h="16838" w:orient="portrait"/>
          <w:cols w:equalWidth="0" w:num="3">
            <w:col w:w="3920" w:space="720"/>
            <w:col w:w="2820" w:space="720"/>
            <w:col w:w="3080"/>
          </w:cols>
          <w:pgMar w:left="340" w:top="1237" w:right="318"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ectPr>
          <w:pgSz w:w="11920" w:h="16838" w:orient="portrait"/>
          <w:cols w:equalWidth="0" w:num="1">
            <w:col w:w="11260"/>
          </w:cols>
          <w:pgMar w:left="340" w:top="1237" w:right="318" w:bottom="1440" w:gutter="0" w:footer="0" w:header="0"/>
          <w:type w:val="continuous"/>
        </w:sectPr>
      </w:pPr>
    </w:p>
    <w:p>
      <w:pPr>
        <w:spacing w:after="0" w:line="16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17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6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6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6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6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8"/>
                <w:szCs w:val="18"/>
                <w:color w:val="auto"/>
              </w:rPr>
            </w:pPr>
          </w:p>
        </w:tc>
        <w:tc>
          <w:tcPr>
            <w:tcW w:w="4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1"/>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of Beneficial Interest, no par value</w:t>
            </w:r>
          </w:p>
        </w:tc>
        <w:tc>
          <w:tcPr>
            <w:tcW w:w="100" w:type="dxa"/>
            <w:vAlign w:val="bottom"/>
          </w:tcPr>
          <w:p>
            <w:pPr>
              <w:spacing w:after="0"/>
              <w:rPr>
                <w:sz w:val="19"/>
                <w:szCs w:val="19"/>
                <w:color w:val="auto"/>
              </w:rPr>
            </w:pPr>
          </w:p>
        </w:tc>
        <w:tc>
          <w:tcPr>
            <w:tcW w:w="2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EARN</w:t>
            </w:r>
          </w:p>
        </w:tc>
        <w:tc>
          <w:tcPr>
            <w:tcW w:w="120" w:type="dxa"/>
            <w:vAlign w:val="bottom"/>
          </w:tcPr>
          <w:p>
            <w:pPr>
              <w:spacing w:after="0"/>
              <w:rPr>
                <w:sz w:val="19"/>
                <w:szCs w:val="19"/>
                <w:color w:val="auto"/>
              </w:rPr>
            </w:pPr>
          </w:p>
        </w:tc>
        <w:tc>
          <w:tcPr>
            <w:tcW w:w="4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Notes due 2031</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ELLA</w:t>
            </w:r>
          </w:p>
        </w:tc>
        <w:tc>
          <w:tcPr>
            <w:tcW w:w="120" w:type="dxa"/>
            <w:vAlign w:val="bottom"/>
          </w:tcPr>
          <w:p>
            <w:pPr>
              <w:spacing w:after="0"/>
              <w:rPr>
                <w:sz w:val="20"/>
                <w:szCs w:val="20"/>
                <w:color w:val="auto"/>
              </w:rPr>
            </w:pPr>
          </w:p>
        </w:tc>
        <w:tc>
          <w:tcPr>
            <w:tcW w:w="4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238" w:lineRule="exact"/>
        <w:rPr>
          <w:sz w:val="24"/>
          <w:szCs w:val="24"/>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00"/>
        <w:spacing w:after="0" w:line="207" w:lineRule="exact"/>
        <w:tabs>
          <w:tab w:leader="none" w:pos="25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73025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37" w:right="318" w:bottom="1440" w:gutter="0" w:footer="0" w:header="0"/>
          <w:type w:val="continuous"/>
        </w:sectPr>
      </w:pPr>
    </w:p>
    <w:bookmarkStart w:id="1" w:name="page2"/>
    <w:bookmarkEnd w:id="1"/>
    <w:p>
      <w:pPr>
        <w:ind w:left="7"/>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jc w:val="both"/>
        <w:ind w:left="7" w:right="300" w:firstLine="405"/>
        <w:spacing w:after="0" w:line="266" w:lineRule="auto"/>
        <w:rPr>
          <w:sz w:val="20"/>
          <w:szCs w:val="20"/>
          <w:color w:val="auto"/>
        </w:rPr>
      </w:pPr>
      <w:r>
        <w:rPr>
          <w:rFonts w:ascii="Times New Roman" w:cs="Times New Roman" w:eastAsia="Times New Roman" w:hAnsi="Times New Roman"/>
          <w:sz w:val="18"/>
          <w:szCs w:val="18"/>
          <w:color w:val="auto"/>
        </w:rPr>
        <w:t>On June 25, 2026, Ellington Credit Company (the “Fund”) held an annual meeting of shareholders (the "Annual Meeting"). Proxies for the Annual Meeting were solicited pursuant to Regulation 14A of the Securities Exchange Act of 1934, as amended. The final voting results for each of the matters submitted to a vote of the shareholders at the Annual Meeting are set forth below.</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Proposal 1: Election of Trustees</w:t>
      </w:r>
    </w:p>
    <w:p>
      <w:pPr>
        <w:spacing w:after="0" w:line="94" w:lineRule="exact"/>
        <w:rPr>
          <w:sz w:val="20"/>
          <w:szCs w:val="20"/>
          <w:color w:val="auto"/>
        </w:rPr>
      </w:pPr>
    </w:p>
    <w:p>
      <w:pPr>
        <w:ind w:left="7" w:right="420" w:firstLine="405"/>
        <w:spacing w:after="0" w:line="273" w:lineRule="auto"/>
        <w:rPr>
          <w:sz w:val="20"/>
          <w:szCs w:val="20"/>
          <w:color w:val="auto"/>
        </w:rPr>
      </w:pPr>
      <w:r>
        <w:rPr>
          <w:rFonts w:ascii="Times New Roman" w:cs="Times New Roman" w:eastAsia="Times New Roman" w:hAnsi="Times New Roman"/>
          <w:sz w:val="18"/>
          <w:szCs w:val="18"/>
          <w:color w:val="auto"/>
        </w:rPr>
        <w:t>Votes regarding the election of six trustees, each of whom was elected to serve until the expiration of the term of office or until such time as their respective successors are elected and qualified, were as follows:</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Withheld</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3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 Allardice, III</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6,757,247</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563,741</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15,737,656</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McBride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6,792,432</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528,556</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15,737,656</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Miller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6,792,429</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528,559</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15,737,656</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Laurence E. Penn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6,793,837</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527,151</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15,737,656</w:t>
            </w:r>
          </w:p>
        </w:tc>
      </w:tr>
      <w:tr>
        <w:trPr>
          <w:trHeight w:val="234"/>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6,702,438</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618,550</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15,737,656</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Vranos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6,727,919</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593,069</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15,737,656</w:t>
            </w:r>
          </w:p>
        </w:tc>
      </w:tr>
    </w:tbl>
    <w:p>
      <w:pPr>
        <w:spacing w:after="0" w:line="3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the Fund's Independent Registered Public Accountants</w:t>
      </w:r>
    </w:p>
    <w:p>
      <w:pPr>
        <w:spacing w:after="0" w:line="94" w:lineRule="exact"/>
        <w:rPr>
          <w:sz w:val="20"/>
          <w:szCs w:val="20"/>
          <w:color w:val="auto"/>
        </w:rPr>
      </w:pPr>
    </w:p>
    <w:p>
      <w:pPr>
        <w:ind w:left="7" w:right="240" w:firstLine="405"/>
        <w:spacing w:after="0" w:line="273" w:lineRule="auto"/>
        <w:rPr>
          <w:sz w:val="20"/>
          <w:szCs w:val="20"/>
          <w:color w:val="auto"/>
        </w:rPr>
      </w:pPr>
      <w:r>
        <w:rPr>
          <w:rFonts w:ascii="Times New Roman" w:cs="Times New Roman" w:eastAsia="Times New Roman" w:hAnsi="Times New Roman"/>
          <w:sz w:val="18"/>
          <w:szCs w:val="18"/>
          <w:color w:val="auto"/>
        </w:rPr>
        <w:t>Votes regarding the proposal to ratify the appointment of PricewaterhouseCoopers LLP as the Fund's independent registered public accounting firm for the year ending March 31, 2027 were as follows:</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120" w:type="dxa"/>
            <w:vAlign w:val="bottom"/>
          </w:tcPr>
          <w:p>
            <w:pPr>
              <w:spacing w:after="0"/>
              <w:rPr>
                <w:sz w:val="20"/>
                <w:szCs w:val="20"/>
                <w:color w:val="auto"/>
              </w:rPr>
            </w:pPr>
          </w:p>
        </w:tc>
        <w:tc>
          <w:tcPr>
            <w:tcW w:w="2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Abstentions</w:t>
            </w:r>
          </w:p>
        </w:tc>
        <w:tc>
          <w:tcPr>
            <w:tcW w:w="1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37"/>
        </w:trPr>
        <w:tc>
          <w:tcPr>
            <w:tcW w:w="27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21,741,032</w:t>
            </w:r>
          </w:p>
        </w:tc>
        <w:tc>
          <w:tcPr>
            <w:tcW w:w="28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649,202</w:t>
            </w:r>
          </w:p>
        </w:tc>
        <w:tc>
          <w:tcPr>
            <w:tcW w:w="284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668,410</w:t>
            </w:r>
          </w:p>
        </w:tc>
        <w:tc>
          <w:tcPr>
            <w:tcW w:w="28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167" w:right="240" w:hanging="167"/>
        <w:spacing w:after="0" w:line="282" w:lineRule="auto"/>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non-votes arose in connection with this proposal due to the fact that the proposal was considered “routine” under New York Stock Exchange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963" w:right="318"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93" w:lineRule="exact"/>
        <w:rPr>
          <w:sz w:val="20"/>
          <w:szCs w:val="20"/>
          <w:color w:val="auto"/>
        </w:rPr>
      </w:pPr>
    </w:p>
    <w:p>
      <w:pPr>
        <w:ind w:left="20"/>
        <w:spacing w:after="0"/>
        <w:tabs>
          <w:tab w:leader="none" w:pos="740" w:val="left"/>
          <w:tab w:leader="none" w:pos="5200" w:val="left"/>
        </w:tabs>
        <w:rPr>
          <w:sz w:val="20"/>
          <w:szCs w:val="20"/>
          <w:color w:val="auto"/>
        </w:rPr>
      </w:pPr>
      <w:r>
        <w:rPr>
          <w:rFonts w:ascii="Times New Roman" w:cs="Times New Roman" w:eastAsia="Times New Roman" w:hAnsi="Times New Roman"/>
          <w:sz w:val="18"/>
          <w:szCs w:val="18"/>
          <w:color w:val="auto"/>
        </w:rPr>
        <w:t>Dated:</w:t>
        <w:tab/>
        <w:t>June 25,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28575</wp:posOffset>
            </wp:positionV>
            <wp:extent cx="3643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3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2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sectPr>
      <w:pgSz w:w="11920" w:h="16838" w:orient="portrait"/>
      <w:cols w:equalWidth="0" w:num="1">
        <w:col w:w="11060"/>
      </w:cols>
      <w:pgMar w:left="340" w:top="882" w:right="5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2026-06-25T15:53:31Z</dcterms:created>
  <dcterms:modified xsi:type="dcterms:W3CDTF">2026-06-25T15:53:31Z</dcterms:modified>
</cp:coreProperties>
</file>