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18, 2014</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Ellington Residential Mortgage REIT</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922" w:right="359" w:bottom="1440" w:gutter="0" w:footer="0" w:header="0"/>
        </w:sectPr>
      </w:pPr>
    </w:p>
    <w:p>
      <w:pPr>
        <w:spacing w:after="0" w:line="394" w:lineRule="exact"/>
        <w:rPr>
          <w:sz w:val="24"/>
          <w:szCs w:val="24"/>
          <w:color w:val="auto"/>
        </w:rPr>
      </w:pPr>
    </w:p>
    <w:p>
      <w:pPr>
        <w:ind w:left="14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001-35896</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46-0687599</w:t>
      </w:r>
    </w:p>
    <w:p>
      <w:pPr>
        <w:spacing w:after="0" w:line="90" w:lineRule="exact"/>
        <w:rPr>
          <w:sz w:val="24"/>
          <w:szCs w:val="24"/>
          <w:color w:val="auto"/>
        </w:rPr>
      </w:pPr>
    </w:p>
    <w:p>
      <w:pPr>
        <w:sectPr>
          <w:pgSz w:w="11900" w:h="16838" w:orient="portrait"/>
          <w:cols w:equalWidth="0" w:num="3">
            <w:col w:w="4560" w:space="720"/>
            <w:col w:w="3100" w:space="720"/>
            <w:col w:w="2200"/>
          </w:cols>
          <w:pgMar w:left="240" w:top="922" w:right="3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4" w:lineRule="exact"/>
        <w:rPr>
          <w:sz w:val="24"/>
          <w:szCs w:val="24"/>
          <w:color w:val="auto"/>
        </w:rPr>
      </w:pPr>
    </w:p>
    <w:p>
      <w:pPr>
        <w:sectPr>
          <w:pgSz w:w="11900" w:h="16838" w:orient="portrait"/>
          <w:cols w:equalWidth="0" w:num="3">
            <w:col w:w="3960" w:space="720"/>
            <w:col w:w="2900" w:space="720"/>
            <w:col w:w="3000"/>
          </w:cols>
          <w:pgMar w:left="240" w:top="922"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53 Forest Avenue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Old Greenwich, CT 06870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698-1200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1300"/>
          </w:cols>
          <w:pgMar w:left="240" w:top="922"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information in this Item 2.02 and the disclosure incorporated by reference in Item 7.01 with respect to Exhibit 99.1 attached to this Current Report on Form 8-K are being furnished by Ellington Residential Mortgage REIT (the "Company") pursuant to Item 7.01 of Form 8-K in satisfaction of the public disclosure requirements of Regulation FD and Item 2.02 of Form 8-K, insofar as they disclose historical information regarding the Company’s results of operations or financial condition for the quarter and year ended December 31, 2013.</w:t>
      </w:r>
    </w:p>
    <w:p>
      <w:pPr>
        <w:spacing w:after="0" w:line="13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On February 18, 2014, the Company issued a press release announcing its financial results for the quarter and year ended December 31, 2013. A copy of the press release is furnished herewith as Exhibit 99.1 to this Current Report on Form 8-K and is incorporated herein by reference.</w:t>
      </w:r>
    </w:p>
    <w:p>
      <w:pPr>
        <w:spacing w:after="0" w:line="93"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In accordance with General Instructions B.2 and B.6 of Form 8-K, the information included in Item 2.02 and the disclosure incorporated by reference in Item 7.01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disclosure contained in Item 2.02 is incorporated herein by reference.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94" w:lineRule="exact"/>
        <w:rPr>
          <w:sz w:val="20"/>
          <w:szCs w:val="20"/>
          <w:color w:val="auto"/>
        </w:rPr>
      </w:pPr>
    </w:p>
    <w:p>
      <w:pPr>
        <w:ind w:left="1300" w:right="4000" w:hanging="887"/>
        <w:spacing w:after="0" w:line="465" w:lineRule="auto"/>
        <w:tabs>
          <w:tab w:leader="none" w:pos="663"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 The following exhibit is being furnished herewith this Current Report on Form 8-K. 99.1 Earnings Press Release dated February 18, 2014</w:t>
      </w:r>
    </w:p>
    <w:p>
      <w:pPr>
        <w:sectPr>
          <w:pgSz w:w="11900" w:h="16838" w:orient="portrait"/>
          <w:cols w:equalWidth="0" w:num="1">
            <w:col w:w="11400"/>
          </w:cols>
          <w:pgMar w:left="240" w:top="580" w:right="25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ELLINGTON RESIDENTIAL MORTGAGE REIT</w:t>
      </w:r>
    </w:p>
    <w:p>
      <w:pPr>
        <w:spacing w:after="0" w:line="387"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color w:val="auto"/>
        </w:rPr>
        <w:t>Dated: February 18, 2014</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Lisa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Lisa Mumford</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700"/>
          </w:cols>
          <w:pgMar w:left="240" w:top="580" w:right="95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1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Earnings Press Release dated February 18, 2014</w:t>
      </w:r>
    </w:p>
    <w:p>
      <w:pPr>
        <w:sectPr>
          <w:pgSz w:w="11900" w:h="16838" w:orient="portrait"/>
          <w:cols w:equalWidth="0" w:num="1">
            <w:col w:w="10219"/>
          </w:cols>
          <w:pgMar w:left="24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Ellington Residential Mortgage REIT Reports Fourth Quarter 2013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OLD GREENWICH, Connecticut—February 18, 2014</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Ellington Residential Mortgage REIT (NYSE: EARN) (the "Company") today reported financial results for the quarter ended December 31, 2013.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9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loss for the quarter of $0.1 million, or $0.01 per share.</w:t>
      </w:r>
    </w:p>
    <w:p>
      <w:pPr>
        <w:spacing w:after="0" w:line="90"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Earnings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quarter of $6.8 million, or $0.74 per share, as compared to $5.6 million, or $0.61 per share, in the third quarter.</w:t>
      </w:r>
    </w:p>
    <w:p>
      <w:pPr>
        <w:spacing w:after="0" w:line="25"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Book value decline of 2.7% to $18.29 per share as of December 31, 2013 from $18.80 per share as of September 30, 2013, after giving effect to a fourth quarter dividend of $0.50 per share, which was paid on January 27, 2014.</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in net interest margin to 2.17% for the fourth quarter as compared to 1.77% for the third quarter.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Weighted average prepayment speed for the Agency RMBS portfolio of 2.2% CPR for the fourth quarter, as compared to 3.6% CPR for the third quarter.</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 yield of 12.0% based on February 14, 2014 closing stock price of $16.61.</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Debt-to-equity ratio of 7.8:1 as of December 31,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2013 Results</w:t>
      </w:r>
    </w:p>
    <w:p>
      <w:pPr>
        <w:spacing w:after="0" w:line="9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the quarter ended December 31, 2013, the Company had a net loss of $0.1 million, or $0.01 per share. The primary drivers of results for the quarter were net interest income and net realized and unrealized gains on derivatives offset by net realized and unrealized losses on investments and expenses.</w:t>
      </w:r>
    </w:p>
    <w:p>
      <w:pPr>
        <w:spacing w:after="0" w:line="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"Notwithstanding the significant pressure that Agency RMBS prices came under in the last two months of the year, through a combination of positive performance from our non-Agency RMBS portfolio and income from our interest rate hedging derivatives, we were able to essentially break even for the quarter on a fully mark-to-market basis," said Laurence Penn, Chief Executive Officer and President of the Company. "Meanwhile, by actively managing our portfolio, including our hedges, we meaningfully improved our net interest margin in the fourth quarter to 2.17% from 1.77% in the third quarter. The specified Agency pools that we acquired in the third and fourth quarters were acquired at pay-ups that we believe are very attractive relative to historical metrics. These prepayment-protected pools not only have enhanced our net interest margin, but also the total return characteristics of our portfolio. In fact, in the early part of 2014, pay-ups for prepayment-protected pools are already showing signs of strengthening. Looking forward, as the Federal Reserve continues to withdraw, even if only gradually, its support from the Agency RMBS market, we believe that there will be abundant opportunities for private capital to fill the void. This may be accompanied by significant volatility, however, so our focus will continue to be on actively and dynamically hedging our risk using both swap-based instruments and short TBA positions."</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2013, the Company's real estate securities consisted of $1.227 billion of fixed rate Agency "specified" pools, $46.1 million of Agency RMBS backed by adjustable rate mortgages, or "Agency ARMs," $8.3 million of Agency reverse mortgage pools, $13.5 million of Agency interest only securities, or "Agency IOs," and $30.7 million of non-Agency RMBS. Specified pools are fixed rate Agency pools with special prepayment characteristics, such as pools comprised of low loan balance mortgages, pools comprised of mortgages backed by investor properties, pools containing mortgages originated through the government-sponsored "Making Homes Affordable" refinancing programs, and pools containing mortgages with various other prepayment characteristics.</w:t>
      </w:r>
    </w:p>
    <w:p>
      <w:pPr>
        <w:spacing w:after="0" w:line="13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early part of the fourth quarter, Agency RMBS rallied in response to the September "no taper" decision announced by the Federal Reserve. However, market concerns about a future taper announcement resumed soon thereafter, and weighed meaningfully on Agency RMBS prices, as well as on their yield spreads relative to interest rate swaps. While the $10 billion taper announced by the Federal Reserve in December was considered modest, it removed some level of uncertainty from the market, and in response Agency RMBS yield spreads re-tightened. Late in January, the Federal Reserve announced an additional $10 billion reduction in its monthly asset purchases, beginning in February 2014. Similar to the December 2013 reduction, this reduction will also be evenly split between Agency RMBS and U.S. Treasury securities. Notwithstanding the total $10 billion drop in the monthly pace of its Agency pool purchases—a 25% drop from its 2013 pace—the Federal Reserve continues to be the dominant force in the Agency pool market. In recent years, the majority of Agency pool issuance has been driven by loan refinancings, as opposed to home purchases. However, with interest rates having risen significantly since last May, refinancing activity has steadily declined over recent months, and in December the Mortgage Bankers Association Refinance Index hit a new multi-year low. Therefore, as refinancing activity has declined, so too has the production of new</w:t>
      </w:r>
    </w:p>
    <w:p>
      <w:pPr>
        <w:spacing w:after="0" w:line="12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Core Earnings is a non-GAAP financial measure. See "Reconciliation of Core Earnings to Net Income (Loss)" below for an explanation regarding the calculation of Core Earnings.</w:t>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286" w:lineRule="auto"/>
        <w:rPr>
          <w:sz w:val="20"/>
          <w:szCs w:val="20"/>
          <w:color w:val="auto"/>
        </w:rPr>
      </w:pPr>
      <w:r>
        <w:rPr>
          <w:rFonts w:ascii="Arial" w:cs="Arial" w:eastAsia="Arial" w:hAnsi="Arial"/>
          <w:sz w:val="17"/>
          <w:szCs w:val="17"/>
          <w:color w:val="auto"/>
        </w:rPr>
        <w:t>Agency pools. As a result, the Federal Reserve still provides overwhelming support to, and remains the dominant force in, the Agency pool market, given that the reduction in Federal Reserve purchases has been more than offset by the reduction in new supply. However, should the Federal Reserve continue to taper its monthly purchases, as is expected, the Agency pool market may undergo a significant repricing over the course of 2014.</w:t>
      </w:r>
    </w:p>
    <w:p>
      <w:pPr>
        <w:spacing w:after="0" w:line="1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Non-Agency RMBS continued to rally in the fourth quarter. However, as market concerns about an imminent taper by the Federal Reserve resumed later in the quarter, the pace of price improvements slowed. During the quarter, the Company sold bonds into the rally in non-Agency RMBS, thereby monetizing gains. Proceeds from assets sold were reinvested into other assets the Company believed to be attractive.</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quarter ended December 31, 2013, net realized and unrealized losses on the Company's real estate securities were $21.9 million, or $2.40 per share. Partially offsetting these losses were net realized and unrealized gains on derivatives in the amount of $12.4 million, or $1.36 per share, as interest rates rose during the quarter. By the end of the fourth quarter as compared to the beginning of the fourth quarter, the rate on the 10-year U.S. Treasury had increased 42 basis points to 3.03%—its highest level in over two years—and the 5-year swap rate had increased 25 basis points to 1.79%. The Company uses a mix of interest rate swaps, short TBA positions, and other instruments such as swaptions to hedge against the risk of rising interest rates as well as the volatility in interest rates.</w:t>
      </w:r>
    </w:p>
    <w:p>
      <w:pPr>
        <w:spacing w:after="0" w:line="13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fourth quarter, the Company took advantage of the depressed pay-ups of specified pools (price premiums for specified pools relative to their generic pool counterparts) by buying higher coupon specified pools. Despite current low prepayment levels, the Company believes that certain sectors of the Agency pool market are still susceptible to prepayments, thereby making it attractive to buy pools with prepayment protection in those sectors, especially given the drop in pay-ups. The Company is also finding attractive opportunities in seasoned specified pools, which have shorter remaining weighted average maturities relative to TBAs, and therefore can be hedged with a shorter, lower-cost basket of interest rate hedges. Given the current steepness of the yield curve, even relatively small amounts of seasoning can translate into significant value.</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Active trading of assets and management of hedges has, and continues to be, a key element of the Company’s Agency strategy. Similar to the third quarter, the fourth quarter provided the Company an excellent opportunity to continue to upgrade its portfolio into higher coupon specified pools with much stronger prepayment protection. The Company believes that specified pools remain very attractive relative to historical metrics.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quarter ended December 31, 2013, the weighted average yield of the Company's portfolio of Agency and non-Agency RMBS was 3.34%, while the Company’s weighted average cost of funds including interest rate swaps was 1.17%, resulting in a net interest margin for the quarter of 2.17%. In comparison, for the quarter ended September 30, 2013, the weighted average yield of the Company's portfolio of Agency and non-Agency RMBS was 3.09%, while the weighted average cost of funds including interest rate swaps was 1.32%, resulting in a net interest margin of 1.77%. Interest income for the quarter included an additional $0.4 million from the effects of a downward adjustment to premium amortization (accompanied by a corresponding $0.4 million downward adjustment to realized and unrealized gains), as higher interest rates have caused a decline in prepayments. Excluding this "catch-up amortization adjustment," the Company's weighted average yield for the fourth quarter was 3.23% and its net interest margin was 2.06%. During the third quarter, the catch-up amortization adjustment was negligible.</w:t>
      </w:r>
    </w:p>
    <w:p>
      <w:pPr>
        <w:spacing w:after="0" w:line="1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has been the case for the last several quarters, volatility in the Agency RMBS market will likely continue to be tied to actions of the Federal Reserve and its ongoing asset purchase programs. Now that the Federal Reserve has actually announced a plan to begin to taper its monthly asset purchases, it is possible that volatility will ease somewhat. Nevertheless, there still remain significant uncertainties about timing, and about how well the financial markets will be able to adapt to each incremental reduced level of support. This uncertainty reinforces the importance of the Company's ability to hedge its risks using a variety of tools, including TBAs.</w:t>
      </w:r>
    </w:p>
    <w:p>
      <w:pPr>
        <w:spacing w:after="0" w:line="134"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 remains positive in its outlook for non-Agency RMBS, both on fundamental and technical grounds. On the fundamental side, the Company expects that while the double-digit rate of home price appreciation that was experienced in 2013 will likely not be repeated in 2014, it should still remain positive in 2014. Since home prices continue to serve as one of the most important determinants of future cashflows in distressed non-Agency RMBS, the Company believes that future home price appreciation will continue to provide significant support for the prices and the credit performance of non-Agency RMBS. On the technical side, while the GSEs and large banks continue to sell non-Agency RMBS from their portfolios, market appetite for these assets remains quite strong, especially among insurance companies, regional banks, and money managers. As of December 31, 2013, the Company's non-Agency RMBS portfolio was $30.7 million as compared to $34.5 million as of September 30, 2013.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t>The Company's book value per share was $18.29 as of December 31, 2013, after giving effect to a fourth quarter dividend of $0.50 per share, a 2.7% decrease from book value per share as of September 30, 2013 of $18.80. The fourth quarter dividend of $0.50 per share was declared in December 2013 and paid in January 2014.</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quarter ended December 31, 2013, Core Earnings was $6.8 million, or $0.74 per share, as compared to $5.6 million, or $0.61 per share, for the quarter ended September 30, 2013. The increase in Core Earnings in the fourth quarter was primarily a result of the increase in the weighted average yield of the Company's holdings of investments period over period. As the Company has actively managed its portfolio, it has reinvested proceeds from asset sales into higher yielding assets. The Company's Core Earnings includes the additional $0.4 million, or $0.04 per share, effect of the catch-up amortization adjustment to GAAP interest income referenced above. Meanwhile, the Company's average cost of funds declined. The decline was related to the lower weighted average maturity of the Company's interest rates swaps period over period. Core Earnings is a non-GAAP financial measure. See "Reconciliation of Core Earnings to Net Income (Loss)" below for an explanation regarding the calculation of Core Earnings.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portfolio of real estate securities as of December 31, 2013 and September 30,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6"/>
          </w:tcPr>
          <w:p>
            <w:pPr>
              <w:jc w:val="right"/>
              <w:ind w:right="28"/>
              <w:spacing w:after="0"/>
              <w:rPr>
                <w:sz w:val="20"/>
                <w:szCs w:val="20"/>
                <w:color w:val="auto"/>
              </w:rPr>
            </w:pPr>
            <w:r>
              <w:rPr>
                <w:rFonts w:ascii="Arial" w:cs="Arial" w:eastAsia="Arial" w:hAnsi="Arial"/>
                <w:sz w:val="18"/>
                <w:szCs w:val="18"/>
                <w:b w:val="1"/>
                <w:bCs w:val="1"/>
                <w:color w:val="auto"/>
              </w:rPr>
              <w:t>December 31, 2013</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6"/>
          </w:tcPr>
          <w:p>
            <w:pPr>
              <w:jc w:val="right"/>
              <w:spacing w:after="0"/>
              <w:rPr>
                <w:sz w:val="20"/>
                <w:szCs w:val="20"/>
                <w:color w:val="auto"/>
              </w:rPr>
            </w:pPr>
            <w:r>
              <w:rPr>
                <w:rFonts w:ascii="Arial" w:cs="Arial" w:eastAsia="Arial" w:hAnsi="Arial"/>
                <w:sz w:val="18"/>
                <w:szCs w:val="18"/>
                <w:b w:val="1"/>
                <w:bCs w:val="1"/>
                <w:color w:val="auto"/>
              </w:rPr>
              <w:t>September 30, 2013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2"/>
                <w:szCs w:val="12"/>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2"/>
                <w:szCs w:val="12"/>
                <w:color w:val="auto"/>
              </w:rPr>
            </w:pPr>
          </w:p>
        </w:tc>
        <w:tc>
          <w:tcPr>
            <w:tcW w:w="86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12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8"/>
                <w:szCs w:val="8"/>
                <w:b w:val="1"/>
                <w:bCs w:val="1"/>
                <w:color w:val="auto"/>
                <w:w w:val="95"/>
              </w:rPr>
              <w:t>(1)</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8"/>
                <w:szCs w:val="8"/>
                <w:b w:val="1"/>
                <w:bCs w:val="1"/>
                <w:color w:val="auto"/>
                <w:w w:val="92"/>
              </w:rPr>
              <w:t>(1)</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8"/>
                <w:szCs w:val="8"/>
                <w:b w:val="1"/>
                <w:bCs w:val="1"/>
                <w:color w:val="auto"/>
                <w:w w:val="95"/>
              </w:rPr>
              <w:t>(1)</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Cost</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Agency RMBS</w:t>
            </w:r>
            <w:r>
              <w:rPr>
                <w:rFonts w:ascii="Arial" w:cs="Arial" w:eastAsia="Arial" w:hAnsi="Arial"/>
                <w:sz w:val="8"/>
                <w:szCs w:val="8"/>
                <w:color w:val="auto"/>
              </w:rPr>
              <w:t>(2)</w:t>
            </w: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15-year fixed rate</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183,872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187,059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192,906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199,450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103.80</w:t>
            </w:r>
          </w:p>
        </w:tc>
        <w:tc>
          <w:tcPr>
            <w:tcW w:w="0" w:type="dxa"/>
            <w:vAlign w:val="bottom"/>
          </w:tcPr>
          <w:p>
            <w:pPr>
              <w:spacing w:after="0"/>
              <w:rPr>
                <w:sz w:val="1"/>
                <w:szCs w:val="1"/>
                <w:color w:val="auto"/>
              </w:rPr>
            </w:pPr>
          </w:p>
        </w:tc>
      </w:tr>
      <w:tr>
        <w:trPr>
          <w:trHeight w:val="157"/>
        </w:trPr>
        <w:tc>
          <w:tcPr>
            <w:tcW w:w="1260" w:type="dxa"/>
            <w:vAlign w:val="bottom"/>
          </w:tcPr>
          <w:p>
            <w:pPr>
              <w:ind w:left="180"/>
              <w:spacing w:after="0" w:line="157" w:lineRule="exact"/>
              <w:rPr>
                <w:sz w:val="20"/>
                <w:szCs w:val="20"/>
                <w:color w:val="auto"/>
              </w:rPr>
            </w:pPr>
            <w:r>
              <w:rPr>
                <w:rFonts w:ascii="Arial" w:cs="Arial" w:eastAsia="Arial" w:hAnsi="Arial"/>
                <w:sz w:val="14"/>
                <w:szCs w:val="14"/>
                <w:color w:val="auto"/>
                <w:w w:val="97"/>
              </w:rPr>
              <w:t>30-year fixed rate</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180"/>
              <w:spacing w:after="0"/>
              <w:rPr>
                <w:sz w:val="20"/>
                <w:szCs w:val="20"/>
                <w:color w:val="auto"/>
              </w:rPr>
            </w:pPr>
            <w:r>
              <w:rPr>
                <w:rFonts w:ascii="Arial" w:cs="Arial" w:eastAsia="Arial" w:hAnsi="Arial"/>
                <w:sz w:val="14"/>
                <w:szCs w:val="14"/>
                <w:color w:val="auto"/>
              </w:rPr>
              <w:t>mortgages</w:t>
            </w:r>
          </w:p>
        </w:tc>
        <w:tc>
          <w:tcPr>
            <w:tcW w:w="1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1,029,629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46"/>
              <w:spacing w:after="0"/>
              <w:rPr>
                <w:sz w:val="20"/>
                <w:szCs w:val="20"/>
                <w:color w:val="auto"/>
              </w:rPr>
            </w:pPr>
            <w:r>
              <w:rPr>
                <w:rFonts w:ascii="Arial" w:cs="Arial" w:eastAsia="Arial" w:hAnsi="Arial"/>
                <w:sz w:val="14"/>
                <w:szCs w:val="14"/>
                <w:color w:val="auto"/>
              </w:rPr>
              <w:t>1,043,573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101.35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1,071,194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104.04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1,157,678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1,186,136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102.46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1,202,846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103.90</w:t>
            </w:r>
          </w:p>
        </w:tc>
        <w:tc>
          <w:tcPr>
            <w:tcW w:w="0" w:type="dxa"/>
            <w:vAlign w:val="bottom"/>
          </w:tcPr>
          <w:p>
            <w:pPr>
              <w:spacing w:after="0"/>
              <w:rPr>
                <w:sz w:val="1"/>
                <w:szCs w:val="1"/>
                <w:color w:val="auto"/>
              </w:rPr>
            </w:pPr>
          </w:p>
        </w:tc>
      </w:tr>
      <w:tr>
        <w:trPr>
          <w:trHeight w:val="27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ARMs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46,115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31,707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105.69</w:t>
            </w:r>
          </w:p>
        </w:tc>
        <w:tc>
          <w:tcPr>
            <w:tcW w:w="0" w:type="dxa"/>
            <w:vAlign w:val="bottom"/>
          </w:tcPr>
          <w:p>
            <w:pPr>
              <w:spacing w:after="0"/>
              <w:rPr>
                <w:sz w:val="1"/>
                <w:szCs w:val="1"/>
                <w:color w:val="auto"/>
              </w:rPr>
            </w:pPr>
          </w:p>
        </w:tc>
      </w:tr>
      <w:tr>
        <w:trPr>
          <w:trHeight w:val="157"/>
        </w:trPr>
        <w:tc>
          <w:tcPr>
            <w:tcW w:w="1260" w:type="dxa"/>
            <w:vAlign w:val="bottom"/>
          </w:tcPr>
          <w:p>
            <w:pPr>
              <w:ind w:left="180"/>
              <w:spacing w:after="0" w:line="157" w:lineRule="exact"/>
              <w:rPr>
                <w:sz w:val="20"/>
                <w:szCs w:val="20"/>
                <w:color w:val="auto"/>
              </w:rPr>
            </w:pPr>
            <w:r>
              <w:rPr>
                <w:rFonts w:ascii="Arial" w:cs="Arial" w:eastAsia="Arial" w:hAnsi="Arial"/>
                <w:sz w:val="14"/>
                <w:szCs w:val="14"/>
                <w:color w:val="auto"/>
              </w:rPr>
              <w:t>Reverse</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mortgages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7,581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8,268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109.06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108.88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8,309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8,282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109.30</w:t>
            </w:r>
          </w:p>
        </w:tc>
        <w:tc>
          <w:tcPr>
            <w:tcW w:w="0" w:type="dxa"/>
            <w:vAlign w:val="bottom"/>
          </w:tcPr>
          <w:p>
            <w:pPr>
              <w:spacing w:after="0"/>
              <w:rPr>
                <w:sz w:val="1"/>
                <w:szCs w:val="1"/>
                <w:color w:val="auto"/>
              </w:rPr>
            </w:pPr>
          </w:p>
        </w:tc>
      </w:tr>
      <w:tr>
        <w:trPr>
          <w:trHeight w:val="143"/>
        </w:trPr>
        <w:tc>
          <w:tcPr>
            <w:tcW w:w="12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Total Agency</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1,260,641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1,281,828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101.68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1,312,679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104.13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1,388,001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1,425,602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102.71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1,442,897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103.96</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8"/>
              </w:rPr>
              <w:t>Non-Agency RMBS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50,006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30,681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28,679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55,798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34,467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60.62</w:t>
            </w: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RMBS</w:t>
            </w:r>
            <w:r>
              <w:rPr>
                <w:rFonts w:ascii="Arial" w:cs="Arial" w:eastAsia="Arial" w:hAnsi="Arial"/>
                <w:sz w:val="8"/>
                <w:szCs w:val="8"/>
                <w:color w:val="auto"/>
              </w:rPr>
              <w:t>(2)</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1,310,647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1,312,509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100.14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1,341,358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102.34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1,443,799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1,460,069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1,476,720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102.28</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Agency IOs</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4"/>
                <w:szCs w:val="14"/>
                <w:color w:val="auto"/>
                <w:w w:val="92"/>
              </w:rPr>
              <w:t>n/a</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13,527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4"/>
                <w:szCs w:val="14"/>
                <w:color w:val="auto"/>
                <w:w w:val="92"/>
              </w:rPr>
              <w:t>n/a</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4"/>
                <w:szCs w:val="14"/>
                <w:color w:val="auto"/>
                <w:w w:val="92"/>
              </w:rPr>
              <w:t>n/a</w:t>
            </w: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4"/>
                <w:szCs w:val="14"/>
                <w:color w:val="auto"/>
                <w:w w:val="92"/>
              </w:rPr>
              <w:t>n/a</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12,722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4"/>
                <w:szCs w:val="14"/>
                <w:color w:val="auto"/>
                <w:w w:val="81"/>
              </w:rPr>
              <w:t>n/a</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center"/>
              <w:ind w:right="48"/>
              <w:spacing w:after="0"/>
              <w:rPr>
                <w:sz w:val="20"/>
                <w:szCs w:val="20"/>
                <w:color w:val="auto"/>
              </w:rPr>
            </w:pPr>
            <w:r>
              <w:rPr>
                <w:rFonts w:ascii="Arial" w:cs="Arial" w:eastAsia="Arial" w:hAnsi="Arial"/>
                <w:sz w:val="14"/>
                <w:szCs w:val="14"/>
                <w:color w:val="auto"/>
                <w:w w:val="81"/>
              </w:rPr>
              <w:t>n/a</w:t>
            </w:r>
          </w:p>
        </w:tc>
        <w:tc>
          <w:tcPr>
            <w:tcW w:w="0" w:type="dxa"/>
            <w:vAlign w:val="bottom"/>
          </w:tcPr>
          <w:p>
            <w:pPr>
              <w:spacing w:after="0"/>
              <w:rPr>
                <w:sz w:val="1"/>
                <w:szCs w:val="1"/>
                <w:color w:val="auto"/>
              </w:rPr>
            </w:pPr>
          </w:p>
        </w:tc>
      </w:tr>
      <w:tr>
        <w:trPr>
          <w:trHeight w:val="143"/>
        </w:trPr>
        <w:tc>
          <w:tcPr>
            <w:tcW w:w="12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Total Real Estate</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1,326,036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1,352,076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1,472,791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1,488,075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dollar amount (not shown in thousands) per $100 of current principal of the price or cost for the security.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Agency IOs.</w:t>
      </w:r>
    </w:p>
    <w:p>
      <w:pPr>
        <w:spacing w:after="0" w:line="23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Weighted average holdings based on amortized cost was $1.442 billion and $1.453 billion for the three month periods ended December 31, 2013 and September 30, 2013,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Financial Derivatives Portfolio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fair value of the Company's financial derivatives as of December 31, 2013 and September 30,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September 30, 2013</w:t>
            </w:r>
          </w:p>
        </w:tc>
        <w:tc>
          <w:tcPr>
            <w:tcW w:w="0" w:type="dxa"/>
            <w:vAlign w:val="bottom"/>
          </w:tcPr>
          <w:p>
            <w:pPr>
              <w:spacing w:after="0"/>
              <w:rPr>
                <w:sz w:val="1"/>
                <w:szCs w:val="1"/>
                <w:color w:val="auto"/>
              </w:rPr>
            </w:pPr>
          </w:p>
        </w:tc>
      </w:tr>
      <w:tr>
        <w:trPr>
          <w:trHeight w:val="27"/>
        </w:trPr>
        <w:tc>
          <w:tcPr>
            <w:tcW w:w="42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Financial derivatives–assets, at fair value:</w:t>
            </w: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gridSpan w:val="5"/>
            <w:vMerge w:val="continue"/>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5"/>
          </w:tcPr>
          <w:p>
            <w:pPr>
              <w:ind w:left="880"/>
              <w:spacing w:after="0"/>
              <w:rPr>
                <w:sz w:val="20"/>
                <w:szCs w:val="20"/>
                <w:color w:val="auto"/>
              </w:rPr>
            </w:pPr>
            <w:r>
              <w:rPr>
                <w:rFonts w:ascii="Arial" w:cs="Arial" w:eastAsia="Arial" w:hAnsi="Arial"/>
                <w:sz w:val="14"/>
                <w:szCs w:val="14"/>
                <w:i w:val="1"/>
                <w:iCs w:val="1"/>
                <w:color w:val="auto"/>
                <w:w w:val="91"/>
              </w:rPr>
              <w:t>(In thousands)</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6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rPr>
              <w:t>TBA securities purchase contracts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80"/>
              <w:spacing w:after="0"/>
              <w:rPr>
                <w:sz w:val="20"/>
                <w:szCs w:val="20"/>
                <w:color w:val="auto"/>
              </w:rPr>
            </w:pPr>
            <w:r>
              <w:rPr>
                <w:rFonts w:ascii="Arial" w:cs="Arial" w:eastAsia="Arial" w:hAnsi="Arial"/>
                <w:sz w:val="18"/>
                <w:szCs w:val="18"/>
                <w:color w:val="auto"/>
                <w:w w:val="98"/>
              </w:rPr>
              <w:t>TBA securities sale contracts</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1"/>
              </w:rPr>
              <w:t>Fixed payer interest rate swaps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23,077</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23,181</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Financial derivatives–liabilities, at fair value: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gridSpan w:val="2"/>
          </w:tcPr>
          <w:p>
            <w:pPr>
              <w:ind w:left="280"/>
              <w:spacing w:after="0"/>
              <w:rPr>
                <w:sz w:val="20"/>
                <w:szCs w:val="20"/>
                <w:color w:val="auto"/>
              </w:rPr>
            </w:pPr>
            <w:r>
              <w:rPr>
                <w:rFonts w:ascii="Arial" w:cs="Arial" w:eastAsia="Arial" w:hAnsi="Arial"/>
                <w:sz w:val="18"/>
                <w:szCs w:val="18"/>
                <w:color w:val="auto"/>
                <w:w w:val="98"/>
              </w:rPr>
              <w:t>TBA securities sale contracts</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1"/>
              </w:rPr>
              <w:t>Fixed payer interest rate swaps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80"/>
              <w:spacing w:after="0"/>
              <w:rPr>
                <w:sz w:val="20"/>
                <w:szCs w:val="20"/>
                <w:color w:val="auto"/>
              </w:rPr>
            </w:pPr>
            <w:r>
              <w:rPr>
                <w:rFonts w:ascii="Arial" w:cs="Arial" w:eastAsia="Arial" w:hAnsi="Arial"/>
                <w:sz w:val="18"/>
                <w:szCs w:val="18"/>
                <w:color w:val="auto"/>
              </w:rPr>
              <w:t>Swaptions</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57"/>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33,894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Interest Rate Swaps</w:t>
            </w: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20" w:type="dxa"/>
            <w:vAlign w:val="bottom"/>
            <w:gridSpan w:val="17"/>
          </w:tcPr>
          <w:p>
            <w:pPr>
              <w:spacing w:after="0"/>
              <w:rPr>
                <w:sz w:val="20"/>
                <w:szCs w:val="20"/>
                <w:color w:val="auto"/>
              </w:rPr>
            </w:pPr>
            <w:r>
              <w:rPr>
                <w:rFonts w:ascii="Arial" w:cs="Arial" w:eastAsia="Arial" w:hAnsi="Arial"/>
                <w:sz w:val="18"/>
                <w:szCs w:val="18"/>
                <w:color w:val="auto"/>
                <w:w w:val="92"/>
              </w:rPr>
              <w:t>The following table provides details about the Company's interest rate swaps as of December 31, 2013 and September 30, 2013: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0"/>
              </w:rPr>
              <w:t>December 31, 2013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1"/>
              </w:rPr>
              <w:t>Weighted Average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 Years to</w:t>
            </w:r>
          </w:p>
        </w:tc>
        <w:tc>
          <w:tcPr>
            <w:tcW w:w="0" w:type="dxa"/>
            <w:vAlign w:val="bottom"/>
          </w:tcPr>
          <w:p>
            <w:pPr>
              <w:spacing w:after="0"/>
              <w:rPr>
                <w:sz w:val="1"/>
                <w:szCs w:val="1"/>
                <w:color w:val="auto"/>
              </w:rPr>
            </w:pPr>
          </w:p>
        </w:tc>
      </w:tr>
      <w:tr>
        <w:trPr>
          <w:trHeight w:val="234"/>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Notional Amount</w:t>
            </w:r>
          </w:p>
        </w:tc>
        <w:tc>
          <w:tcPr>
            <w:tcW w:w="3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8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Pay Rate</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w w:val="94"/>
              </w:rPr>
              <w:t>Receive Rate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w w:val="97"/>
              </w:rPr>
              <w:t>0.80%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w w:val="93"/>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ind w:left="108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137,100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6,444</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ind w:left="108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64,750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8,605</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ind w:left="108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748,350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31,744</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gridSpan w:val="2"/>
            <w:shd w:val="clear" w:color="auto" w:fill="CCEEFF"/>
          </w:tcPr>
          <w:p>
            <w:pPr>
              <w:ind w:left="1140"/>
              <w:spacing w:after="0"/>
              <w:rPr>
                <w:sz w:val="20"/>
                <w:szCs w:val="20"/>
                <w:color w:val="auto"/>
              </w:rPr>
            </w:pPr>
            <w:r>
              <w:rPr>
                <w:rFonts w:ascii="Arial" w:cs="Arial" w:eastAsia="Arial" w:hAnsi="Arial"/>
                <w:sz w:val="18"/>
                <w:szCs w:val="18"/>
                <w:color w:val="auto"/>
                <w:w w:val="97"/>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1080"/>
              <w:spacing w:after="0"/>
              <w:rPr>
                <w:sz w:val="20"/>
                <w:szCs w:val="20"/>
                <w:color w:val="auto"/>
              </w:rPr>
            </w:pPr>
            <w:r>
              <w:rPr>
                <w:rFonts w:ascii="Arial" w:cs="Arial" w:eastAsia="Arial" w:hAnsi="Arial"/>
                <w:sz w:val="18"/>
                <w:szCs w:val="18"/>
                <w:color w:val="auto"/>
                <w:w w:val="93"/>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89"/>
              </w:rPr>
              <w:t>September 30, 2013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7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1"/>
              </w:rPr>
              <w:t>Weighted Average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 Years to</w:t>
            </w:r>
          </w:p>
        </w:tc>
        <w:tc>
          <w:tcPr>
            <w:tcW w:w="0" w:type="dxa"/>
            <w:vAlign w:val="bottom"/>
          </w:tcPr>
          <w:p>
            <w:pPr>
              <w:spacing w:after="0"/>
              <w:rPr>
                <w:sz w:val="1"/>
                <w:szCs w:val="1"/>
                <w:color w:val="auto"/>
              </w:rPr>
            </w:pPr>
          </w:p>
        </w:tc>
      </w:tr>
      <w:tr>
        <w:trPr>
          <w:trHeight w:val="234"/>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Notional Amount</w:t>
            </w:r>
          </w:p>
        </w:tc>
        <w:tc>
          <w:tcPr>
            <w:tcW w:w="3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8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Pay Rate</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w w:val="94"/>
              </w:rPr>
              <w:t>Receive Rate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w w:val="97"/>
              </w:rPr>
              <w:t>0.89%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w w:val="93"/>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109,000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ind w:left="108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235,900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ind w:left="108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5,462</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ind w:left="108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755,900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21,668</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gridSpan w:val="2"/>
            <w:shd w:val="clear" w:color="auto" w:fill="CCEEFF"/>
          </w:tcPr>
          <w:p>
            <w:pPr>
              <w:ind w:left="1140"/>
              <w:spacing w:after="0"/>
              <w:rPr>
                <w:sz w:val="20"/>
                <w:szCs w:val="20"/>
                <w:color w:val="auto"/>
              </w:rPr>
            </w:pPr>
            <w:r>
              <w:rPr>
                <w:rFonts w:ascii="Arial" w:cs="Arial" w:eastAsia="Arial" w:hAnsi="Arial"/>
                <w:sz w:val="18"/>
                <w:szCs w:val="18"/>
                <w:color w:val="auto"/>
                <w:w w:val="97"/>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1080"/>
              <w:spacing w:after="0"/>
              <w:rPr>
                <w:sz w:val="20"/>
                <w:szCs w:val="20"/>
                <w:color w:val="auto"/>
              </w:rPr>
            </w:pPr>
            <w:r>
              <w:rPr>
                <w:rFonts w:ascii="Arial" w:cs="Arial" w:eastAsia="Arial" w:hAnsi="Arial"/>
                <w:sz w:val="18"/>
                <w:szCs w:val="18"/>
                <w:color w:val="auto"/>
                <w:w w:val="93"/>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Interest Rate Swaptions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the Company's swaptions as of December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Underlying Swap</w:t>
            </w:r>
          </w:p>
        </w:tc>
        <w:tc>
          <w:tcPr>
            <w:tcW w:w="1480" w:type="dxa"/>
            <w:vAlign w:val="bottom"/>
          </w:tcPr>
          <w:p>
            <w:pPr>
              <w:spacing w:after="0"/>
              <w:rPr>
                <w:sz w:val="20"/>
                <w:szCs w:val="20"/>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Months to</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Notional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580" w:type="dxa"/>
            <w:vAlign w:val="bottom"/>
            <w:gridSpan w:val="2"/>
          </w:tcPr>
          <w:p>
            <w:pPr>
              <w:ind w:left="560"/>
              <w:spacing w:after="0"/>
              <w:rPr>
                <w:sz w:val="20"/>
                <w:szCs w:val="20"/>
                <w:color w:val="auto"/>
              </w:rPr>
            </w:pPr>
            <w:r>
              <w:rPr>
                <w:rFonts w:ascii="Arial" w:cs="Arial" w:eastAsia="Arial" w:hAnsi="Arial"/>
                <w:sz w:val="18"/>
                <w:szCs w:val="18"/>
                <w:b w:val="1"/>
                <w:bCs w:val="1"/>
                <w:color w:val="auto"/>
              </w:rPr>
              <w:t>Type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Fixed Rate</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1580" w:type="dxa"/>
            <w:vAlign w:val="bottom"/>
            <w:gridSpan w:val="2"/>
          </w:tcPr>
          <w:p>
            <w:pPr>
              <w:ind w:left="40"/>
              <w:spacing w:after="0"/>
              <w:rPr>
                <w:sz w:val="20"/>
                <w:szCs w:val="20"/>
                <w:color w:val="auto"/>
              </w:rPr>
            </w:pPr>
            <w:r>
              <w:rPr>
                <w:rFonts w:ascii="Arial" w:cs="Arial" w:eastAsia="Arial" w:hAnsi="Arial"/>
                <w:sz w:val="14"/>
                <w:szCs w:val="14"/>
                <w:i w:val="1"/>
                <w:iCs w:val="1"/>
                <w:color w:val="auto"/>
              </w:rPr>
              <w:t>($ in thousands)</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Payer</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3.31%</w:t>
            </w:r>
          </w:p>
        </w:tc>
      </w:tr>
      <w:tr>
        <w:trPr>
          <w:trHeight w:val="243"/>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Straddle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(26)</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9.9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3.08%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the Company's swaptions as of September 30,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3"/>
          </w:tcPr>
          <w:p>
            <w:pPr>
              <w:jc w:val="right"/>
              <w:ind w:right="179"/>
              <w:spacing w:after="0"/>
              <w:rPr>
                <w:sz w:val="20"/>
                <w:szCs w:val="20"/>
                <w:color w:val="auto"/>
              </w:rPr>
            </w:pPr>
            <w:r>
              <w:rPr>
                <w:rFonts w:ascii="Arial" w:cs="Arial" w:eastAsia="Arial" w:hAnsi="Arial"/>
                <w:sz w:val="18"/>
                <w:szCs w:val="18"/>
                <w:b w:val="1"/>
                <w:bCs w:val="1"/>
                <w:color w:val="auto"/>
                <w:w w:val="99"/>
              </w:rPr>
              <w:t>Option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1"/>
              </w:rPr>
              <w:t>Underlying Swap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90"/>
              </w:rPr>
              <w:t>Months to</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Notional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560"/>
              <w:spacing w:after="0"/>
              <w:rPr>
                <w:sz w:val="20"/>
                <w:szCs w:val="20"/>
                <w:color w:val="auto"/>
              </w:rPr>
            </w:pPr>
            <w:r>
              <w:rPr>
                <w:rFonts w:ascii="Arial" w:cs="Arial" w:eastAsia="Arial" w:hAnsi="Arial"/>
                <w:sz w:val="18"/>
                <w:szCs w:val="18"/>
                <w:b w:val="1"/>
                <w:bCs w:val="1"/>
                <w:color w:val="auto"/>
              </w:rPr>
              <w:t>Type</w:t>
            </w:r>
          </w:p>
        </w:tc>
        <w:tc>
          <w:tcPr>
            <w:tcW w:w="3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93"/>
              </w:rPr>
              <w:t>Expiration</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40" w:type="dxa"/>
            <w:vAlign w:val="bottom"/>
            <w:gridSpan w:val="3"/>
          </w:tcPr>
          <w:p>
            <w:pPr>
              <w:jc w:val="center"/>
              <w:ind w:left="13"/>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Fixed Rate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580" w:type="dxa"/>
            <w:vAlign w:val="bottom"/>
            <w:gridSpan w:val="2"/>
          </w:tcPr>
          <w:p>
            <w:pPr>
              <w:ind w:left="4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Payer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(86)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11.9</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ind w:left="37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434"/>
              <w:spacing w:after="0"/>
              <w:rPr>
                <w:sz w:val="20"/>
                <w:szCs w:val="20"/>
                <w:color w:val="auto"/>
              </w:rPr>
            </w:pPr>
            <w:r>
              <w:rPr>
                <w:rFonts w:ascii="Arial" w:cs="Arial" w:eastAsia="Arial" w:hAnsi="Arial"/>
                <w:sz w:val="18"/>
                <w:szCs w:val="18"/>
                <w:color w:val="auto"/>
                <w:w w:val="93"/>
              </w:rPr>
              <w:t>3.31%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580" w:type="dxa"/>
            <w:vAlign w:val="bottom"/>
            <w:gridSpan w:val="2"/>
          </w:tcPr>
          <w:p>
            <w:pPr>
              <w:spacing w:after="0"/>
              <w:rPr>
                <w:sz w:val="20"/>
                <w:szCs w:val="20"/>
                <w:color w:val="auto"/>
              </w:rPr>
            </w:pPr>
            <w:r>
              <w:rPr>
                <w:rFonts w:ascii="Arial" w:cs="Arial" w:eastAsia="Arial" w:hAnsi="Arial"/>
                <w:sz w:val="18"/>
                <w:szCs w:val="18"/>
                <w:i w:val="1"/>
                <w:iCs w:val="1"/>
                <w:color w:val="auto"/>
              </w:rPr>
              <w:t>TBAs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80" w:type="dxa"/>
            <w:vAlign w:val="bottom"/>
            <w:gridSpan w:val="31"/>
          </w:tcPr>
          <w:p>
            <w:pPr>
              <w:spacing w:after="0"/>
              <w:rPr>
                <w:sz w:val="20"/>
                <w:szCs w:val="20"/>
                <w:color w:val="auto"/>
              </w:rPr>
            </w:pPr>
            <w:r>
              <w:rPr>
                <w:rFonts w:ascii="Arial" w:cs="Arial" w:eastAsia="Arial" w:hAnsi="Arial"/>
                <w:sz w:val="18"/>
                <w:szCs w:val="18"/>
                <w:color w:val="auto"/>
                <w:w w:val="92"/>
              </w:rPr>
              <w:t>The following table provides additional information about the Company's TBAs as of December 31, 2013 and September 30, 2013:</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7"/>
          </w:tcPr>
          <w:p>
            <w:pPr>
              <w:ind w:left="160"/>
              <w:spacing w:after="0"/>
              <w:rPr>
                <w:sz w:val="20"/>
                <w:szCs w:val="20"/>
                <w:color w:val="auto"/>
              </w:rPr>
            </w:pPr>
            <w:r>
              <w:rPr>
                <w:rFonts w:ascii="Arial" w:cs="Arial" w:eastAsia="Arial" w:hAnsi="Arial"/>
                <w:sz w:val="16"/>
                <w:szCs w:val="16"/>
                <w:b w:val="1"/>
                <w:bCs w:val="1"/>
                <w:color w:val="auto"/>
              </w:rPr>
              <w:t>December 31, 2013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6"/>
          </w:tcPr>
          <w:p>
            <w:pPr>
              <w:ind w:left="180"/>
              <w:spacing w:after="0"/>
              <w:rPr>
                <w:sz w:val="20"/>
                <w:szCs w:val="20"/>
                <w:color w:val="auto"/>
              </w:rPr>
            </w:pPr>
            <w:r>
              <w:rPr>
                <w:rFonts w:ascii="Arial" w:cs="Arial" w:eastAsia="Arial" w:hAnsi="Arial"/>
                <w:sz w:val="16"/>
                <w:szCs w:val="16"/>
                <w:b w:val="1"/>
                <w:bCs w:val="1"/>
                <w:color w:val="auto"/>
              </w:rPr>
              <w:t>September 30, 2013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Notional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12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Market Value</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Carrying</w:t>
            </w:r>
          </w:p>
        </w:tc>
        <w:tc>
          <w:tcPr>
            <w:tcW w:w="102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rPr>
              <w:t>Notional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ind w:left="180"/>
              <w:spacing w:after="0"/>
              <w:rPr>
                <w:sz w:val="20"/>
                <w:szCs w:val="20"/>
                <w:color w:val="auto"/>
              </w:rPr>
            </w:pPr>
            <w:r>
              <w:rPr>
                <w:rFonts w:ascii="Arial" w:cs="Arial" w:eastAsia="Arial" w:hAnsi="Arial"/>
                <w:sz w:val="16"/>
                <w:szCs w:val="16"/>
                <w:b w:val="1"/>
                <w:bCs w:val="1"/>
                <w:color w:val="auto"/>
              </w:rPr>
              <w:t>Cost</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Market Value</w:t>
            </w:r>
          </w:p>
        </w:tc>
        <w:tc>
          <w:tcPr>
            <w:tcW w:w="120" w:type="dxa"/>
            <w:vAlign w:val="bottom"/>
          </w:tcPr>
          <w:p>
            <w:pPr>
              <w:spacing w:after="0"/>
              <w:rPr>
                <w:sz w:val="17"/>
                <w:szCs w:val="17"/>
                <w:color w:val="auto"/>
              </w:rPr>
            </w:pPr>
          </w:p>
        </w:tc>
        <w:tc>
          <w:tcPr>
            <w:tcW w:w="780" w:type="dxa"/>
            <w:vAlign w:val="bottom"/>
          </w:tcPr>
          <w:p>
            <w:pPr>
              <w:jc w:val="center"/>
              <w:ind w:right="54"/>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81"/>
        </w:trPr>
        <w:tc>
          <w:tcPr>
            <w:tcW w:w="1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TBA Securities</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4"/>
            <w:vMerge w:val="restart"/>
          </w:tcPr>
          <w:p>
            <w:pPr>
              <w:jc w:val="right"/>
              <w:ind w:right="70"/>
              <w:spacing w:after="0"/>
              <w:rPr>
                <w:sz w:val="20"/>
                <w:szCs w:val="20"/>
                <w:color w:val="auto"/>
              </w:rPr>
            </w:pPr>
            <w:r>
              <w:rPr>
                <w:rFonts w:ascii="Arial" w:cs="Arial" w:eastAsia="Arial" w:hAnsi="Arial"/>
                <w:sz w:val="16"/>
                <w:szCs w:val="16"/>
                <w:b w:val="1"/>
                <w:bCs w:val="1"/>
                <w:color w:val="auto"/>
              </w:rPr>
              <w:t xml:space="preserve">Amount </w:t>
            </w:r>
            <w:r>
              <w:rPr>
                <w:rFonts w:ascii="Arial" w:cs="Arial" w:eastAsia="Arial" w:hAnsi="Arial"/>
                <w:sz w:val="21"/>
                <w:szCs w:val="21"/>
                <w:b w:val="1"/>
                <w:bCs w:val="1"/>
                <w:color w:val="auto"/>
                <w:vertAlign w:val="superscript"/>
              </w:rPr>
              <w:t>(1)</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4"/>
            <w:vMerge w:val="restart"/>
          </w:tcPr>
          <w:p>
            <w:pPr>
              <w:jc w:val="center"/>
              <w:ind w:right="340"/>
              <w:spacing w:after="0"/>
              <w:rPr>
                <w:sz w:val="20"/>
                <w:szCs w:val="20"/>
                <w:color w:val="auto"/>
              </w:rPr>
            </w:pPr>
            <w:r>
              <w:rPr>
                <w:rFonts w:ascii="Arial" w:cs="Arial" w:eastAsia="Arial" w:hAnsi="Arial"/>
                <w:sz w:val="16"/>
                <w:szCs w:val="16"/>
                <w:b w:val="1"/>
                <w:bCs w:val="1"/>
                <w:color w:val="auto"/>
                <w:w w:val="80"/>
              </w:rPr>
              <w:t xml:space="preserve">Basis </w:t>
            </w:r>
            <w:r>
              <w:rPr>
                <w:rFonts w:ascii="Arial" w:cs="Arial" w:eastAsia="Arial" w:hAnsi="Arial"/>
                <w:sz w:val="21"/>
                <w:szCs w:val="21"/>
                <w:b w:val="1"/>
                <w:bCs w:val="1"/>
                <w:color w:val="auto"/>
                <w:w w:val="80"/>
                <w:vertAlign w:val="superscript"/>
              </w:rPr>
              <w:t>(2)</w:t>
            </w:r>
          </w:p>
        </w:tc>
        <w:tc>
          <w:tcPr>
            <w:tcW w:w="12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3"/>
              </w:rPr>
              <w:t xml:space="preserve">Value </w:t>
            </w:r>
            <w:r>
              <w:rPr>
                <w:rFonts w:ascii="Arial" w:cs="Arial" w:eastAsia="Arial" w:hAnsi="Arial"/>
                <w:sz w:val="21"/>
                <w:szCs w:val="21"/>
                <w:b w:val="1"/>
                <w:bCs w:val="1"/>
                <w:color w:val="auto"/>
                <w:w w:val="83"/>
                <w:vertAlign w:val="superscript"/>
              </w:rPr>
              <w:t>(4)</w:t>
            </w:r>
          </w:p>
        </w:tc>
        <w:tc>
          <w:tcPr>
            <w:tcW w:w="1020" w:type="dxa"/>
            <w:vAlign w:val="bottom"/>
            <w:gridSpan w:val="4"/>
            <w:vMerge w:val="restart"/>
          </w:tcPr>
          <w:p>
            <w:pPr>
              <w:jc w:val="right"/>
              <w:ind w:right="50"/>
              <w:spacing w:after="0"/>
              <w:rPr>
                <w:sz w:val="20"/>
                <w:szCs w:val="20"/>
                <w:color w:val="auto"/>
              </w:rPr>
            </w:pPr>
            <w:r>
              <w:rPr>
                <w:rFonts w:ascii="Arial" w:cs="Arial" w:eastAsia="Arial" w:hAnsi="Arial"/>
                <w:sz w:val="16"/>
                <w:szCs w:val="16"/>
                <w:b w:val="1"/>
                <w:bCs w:val="1"/>
                <w:color w:val="auto"/>
              </w:rPr>
              <w:t xml:space="preserve">Amount </w:t>
            </w:r>
            <w:r>
              <w:rPr>
                <w:rFonts w:ascii="Arial" w:cs="Arial" w:eastAsia="Arial" w:hAnsi="Arial"/>
                <w:sz w:val="21"/>
                <w:szCs w:val="21"/>
                <w:b w:val="1"/>
                <w:bCs w:val="1"/>
                <w:color w:val="auto"/>
                <w:vertAlign w:val="superscript"/>
              </w:rPr>
              <w:t>(1)</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 xml:space="preserve">Basis </w:t>
            </w:r>
            <w:r>
              <w:rPr>
                <w:rFonts w:ascii="Arial" w:cs="Arial" w:eastAsia="Arial" w:hAnsi="Arial"/>
                <w:sz w:val="21"/>
                <w:szCs w:val="21"/>
                <w:b w:val="1"/>
                <w:bCs w:val="1"/>
                <w:color w:val="auto"/>
                <w:vertAlign w:val="superscript"/>
              </w:rPr>
              <w:t>(2)</w:t>
            </w:r>
          </w:p>
        </w:tc>
        <w:tc>
          <w:tcPr>
            <w:tcW w:w="11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87"/>
              </w:rPr>
              <w:t xml:space="preserve">Value </w:t>
            </w:r>
            <w:r>
              <w:rPr>
                <w:rFonts w:ascii="Arial" w:cs="Arial" w:eastAsia="Arial" w:hAnsi="Arial"/>
                <w:sz w:val="21"/>
                <w:szCs w:val="21"/>
                <w:b w:val="1"/>
                <w:bCs w:val="1"/>
                <w:color w:val="auto"/>
                <w:w w:val="87"/>
                <w:vertAlign w:val="superscript"/>
              </w:rPr>
              <w:t>(4)</w:t>
            </w:r>
          </w:p>
        </w:tc>
        <w:tc>
          <w:tcPr>
            <w:tcW w:w="0" w:type="dxa"/>
            <w:vAlign w:val="bottom"/>
          </w:tcPr>
          <w:p>
            <w:pPr>
              <w:spacing w:after="0"/>
              <w:rPr>
                <w:sz w:val="1"/>
                <w:szCs w:val="1"/>
                <w:color w:val="auto"/>
              </w:rPr>
            </w:pPr>
          </w:p>
        </w:tc>
      </w:tr>
      <w:tr>
        <w:trPr>
          <w:trHeight w:val="162"/>
        </w:trPr>
        <w:tc>
          <w:tcPr>
            <w:tcW w:w="1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36"/>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57"/>
              <w:spacing w:after="0"/>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580" w:type="dxa"/>
            <w:vAlign w:val="bottom"/>
            <w:gridSpan w:val="2"/>
          </w:tcPr>
          <w:p>
            <w:pPr>
              <w:ind w:left="40"/>
              <w:spacing w:after="0"/>
              <w:rPr>
                <w:sz w:val="20"/>
                <w:szCs w:val="20"/>
                <w:color w:val="auto"/>
              </w:rPr>
            </w:pPr>
            <w:r>
              <w:rPr>
                <w:rFonts w:ascii="Arial" w:cs="Arial" w:eastAsia="Arial" w:hAnsi="Arial"/>
                <w:sz w:val="18"/>
                <w:szCs w:val="18"/>
                <w:color w:val="auto"/>
                <w:w w:val="95"/>
              </w:rPr>
              <w:t>Purchase contracts:</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Sale contracts:</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(363,078)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(375,524)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(17,518)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3"/>
              </w:rPr>
              <w:t>(438,579)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(449,060)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(454,632)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gridSpan w:val="3"/>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Total TBA securities, net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(377,878)</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(391,317)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(435,229)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(445,891)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(451,359)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Notional amount represents the principal balance of the underlying Agency RMBS.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for the underlying Agency RMBS.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underlying Agency RMBS (on a forward delivery basis) as of the respective period end.</w:t>
      </w:r>
    </w:p>
    <w:p>
      <w:pPr>
        <w:spacing w:after="0" w:line="1" w:lineRule="exact"/>
        <w:rPr>
          <w:rFonts w:ascii="Arial" w:cs="Arial" w:eastAsia="Arial" w:hAnsi="Arial"/>
          <w:sz w:val="14"/>
          <w:szCs w:val="14"/>
          <w:color w:val="auto"/>
        </w:rPr>
      </w:pPr>
    </w:p>
    <w:p>
      <w:pPr>
        <w:ind w:left="340" w:right="200" w:hanging="332"/>
        <w:spacing w:after="0" w:line="255"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of the TBA contract as of the respective period end and the cost basis, and is reported in Financial derivatives-assets at fair value and Financial derivatives-liabilities at fair value on the Consolidated Balance Sheet, for the respective period end.</w:t>
      </w:r>
    </w:p>
    <w:p>
      <w:pPr>
        <w:spacing w:after="0" w:line="1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primarily uses TBAs to hedge interest rate risk, but from time to time it also holds net long positions in certain TBA securities as a means of acquiring exposure to Agency RMBS.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Interest Rate Sensitivity</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as of December 31, 2013, the estimated effects on the value of the Company's portfolio, both overall and by category, of immediate downward and upward parallel shifts of 50 basis points in interest rates.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b w:val="1"/>
                <w:bCs w:val="1"/>
                <w:color w:val="auto"/>
              </w:rPr>
              <w:t>Estimated Change in Fair Value</w:t>
            </w:r>
            <w:r>
              <w:rPr>
                <w:rFonts w:ascii="Arial" w:cs="Arial" w:eastAsia="Arial" w:hAnsi="Arial"/>
                <w:sz w:val="25"/>
                <w:szCs w:val="25"/>
                <w:b w:val="1"/>
                <w:bCs w:val="1"/>
                <w:color w:val="auto"/>
                <w:vertAlign w:val="superscript"/>
              </w:rPr>
              <w:t>(1)</w:t>
            </w:r>
          </w:p>
        </w:tc>
      </w:tr>
      <w:tr>
        <w:trPr>
          <w:trHeight w:val="218"/>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50 Basis Point Decline</w:t>
            </w:r>
          </w:p>
        </w:tc>
        <w:tc>
          <w:tcPr>
            <w:tcW w:w="280" w:type="dxa"/>
            <w:vAlign w:val="bottom"/>
          </w:tcPr>
          <w:p>
            <w:pPr>
              <w:spacing w:after="0"/>
              <w:rPr>
                <w:sz w:val="18"/>
                <w:szCs w:val="18"/>
                <w:color w:val="auto"/>
              </w:rPr>
            </w:pPr>
          </w:p>
        </w:tc>
        <w:tc>
          <w:tcPr>
            <w:tcW w:w="234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50 Basis Point Increase</w:t>
            </w:r>
          </w:p>
        </w:tc>
      </w:tr>
      <w:tr>
        <w:trPr>
          <w:trHeight w:val="255"/>
        </w:trPr>
        <w:tc>
          <w:tcPr>
            <w:tcW w:w="60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2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 Interest Rates</w:t>
            </w:r>
          </w:p>
        </w:tc>
        <w:tc>
          <w:tcPr>
            <w:tcW w:w="280" w:type="dxa"/>
            <w:vAlign w:val="bottom"/>
          </w:tcPr>
          <w:p>
            <w:pPr>
              <w:spacing w:after="0"/>
              <w:rPr>
                <w:sz w:val="22"/>
                <w:szCs w:val="22"/>
                <w:color w:val="auto"/>
              </w:rPr>
            </w:pPr>
          </w:p>
        </w:tc>
        <w:tc>
          <w:tcPr>
            <w:tcW w:w="2340" w:type="dxa"/>
            <w:vAlign w:val="bottom"/>
          </w:tcPr>
          <w:p>
            <w:pPr>
              <w:jc w:val="right"/>
              <w:ind w:right="590"/>
              <w:spacing w:after="0"/>
              <w:rPr>
                <w:sz w:val="20"/>
                <w:szCs w:val="20"/>
                <w:color w:val="auto"/>
              </w:rPr>
            </w:pPr>
            <w:r>
              <w:rPr>
                <w:rFonts w:ascii="Arial" w:cs="Arial" w:eastAsia="Arial" w:hAnsi="Arial"/>
                <w:sz w:val="18"/>
                <w:szCs w:val="18"/>
                <w:b w:val="1"/>
                <w:bCs w:val="1"/>
                <w:color w:val="auto"/>
              </w:rPr>
              <w:t>in Interest Rates</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Agency ARMs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Agency Fixed RMBS and IOs</w:t>
            </w: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34,579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(39,096)</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TBAs</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Non-Agency RMBS</w:t>
            </w: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Swaptions</w:t>
            </w:r>
          </w:p>
        </w:tc>
        <w:tc>
          <w:tcPr>
            <w:tcW w:w="2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2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the market environment as of December 31, 2013. Results are based on forward-looking models, which are inherently imperfect, and incorporate various simplifying assumptions. Therefore, the table above is for illustrative purposes only and actual changes in interest rates would likely cause changes in the actual value of the overall portfolio that would differ from those presented above and such differences might be significant and adverse.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 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outstanding borrowings under repo agreements as of December 31, 2013 and September 30,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2013</w:t>
            </w:r>
          </w:p>
        </w:tc>
        <w:tc>
          <w:tcPr>
            <w:tcW w:w="1360" w:type="dxa"/>
            <w:vAlign w:val="bottom"/>
          </w:tcPr>
          <w:p>
            <w:pPr>
              <w:spacing w:after="0"/>
              <w:rPr>
                <w:sz w:val="20"/>
                <w:szCs w:val="20"/>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Weighted Average</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Weighted Average</w:t>
            </w: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Borrowings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Remaining Days</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Borrowings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2"/>
              </w:rPr>
              <w:t>Remaining Days</w:t>
            </w:r>
          </w:p>
        </w:tc>
      </w:tr>
      <w:tr>
        <w:trPr>
          <w:trHeight w:val="234"/>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Original Maturity</w:t>
            </w:r>
          </w:p>
        </w:tc>
        <w:tc>
          <w:tcPr>
            <w:tcW w:w="160" w:type="dxa"/>
            <w:vAlign w:val="bottom"/>
          </w:tcPr>
          <w:p>
            <w:pPr>
              <w:spacing w:after="0"/>
              <w:rPr>
                <w:sz w:val="20"/>
                <w:szCs w:val="20"/>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to Maturity</w:t>
            </w:r>
          </w:p>
        </w:tc>
        <w:tc>
          <w:tcPr>
            <w:tcW w:w="160" w:type="dxa"/>
            <w:vAlign w:val="bottom"/>
          </w:tcPr>
          <w:p>
            <w:pPr>
              <w:spacing w:after="0"/>
              <w:rPr>
                <w:sz w:val="20"/>
                <w:szCs w:val="20"/>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to Maturity</w:t>
            </w: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center"/>
              <w:ind w:right="72"/>
              <w:spacing w:after="0"/>
              <w:rPr>
                <w:sz w:val="20"/>
                <w:szCs w:val="20"/>
                <w:color w:val="auto"/>
              </w:rPr>
            </w:pPr>
            <w:r>
              <w:rPr>
                <w:rFonts w:ascii="Arial" w:cs="Arial" w:eastAsia="Arial" w:hAnsi="Arial"/>
                <w:sz w:val="14"/>
                <w:szCs w:val="14"/>
                <w:i w:val="1"/>
                <w:iCs w:val="1"/>
                <w:color w:val="auto"/>
                <w:w w:val="91"/>
              </w:rPr>
              <w:t>(In thousands)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center"/>
              <w:ind w:right="72"/>
              <w:spacing w:after="0"/>
              <w:rPr>
                <w:sz w:val="20"/>
                <w:szCs w:val="20"/>
                <w:color w:val="auto"/>
              </w:rPr>
            </w:pPr>
            <w:r>
              <w:rPr>
                <w:rFonts w:ascii="Arial" w:cs="Arial" w:eastAsia="Arial" w:hAnsi="Arial"/>
                <w:sz w:val="14"/>
                <w:szCs w:val="14"/>
                <w:i w:val="1"/>
                <w:iCs w:val="1"/>
                <w:color w:val="auto"/>
                <w:w w:val="93"/>
              </w:rPr>
              <w:t>(In thousands)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30 days or less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338,700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513,660</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3"/>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31-60 days</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531,799</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412,485</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61-90 days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326,386</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143,530</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91-120 days</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109,476</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28,897</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121-150 days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3,986</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99,464</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151-180 days</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94,910</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1,310,347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1,292,946</w:t>
            </w:r>
          </w:p>
        </w:tc>
        <w:tc>
          <w:tcPr>
            <w:tcW w:w="1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3"/>
              </w:rPr>
              <w:t>0.38%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the periodic costs associated with interest rate swaps is included in the cost of funds, total cost of funds for the three month periods ended December 31, 2013 and September 30, 2013, was 1.17% and 1.32%, respectively.</w:t>
      </w:r>
    </w:p>
    <w:p>
      <w:pPr>
        <w:spacing w:after="0" w:line="1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December 31, 2013, the Company had no outstanding borrowings other than under repurchase agreements. The Company's repo borrowings were with nine counterparties as of December 31, 2013. As of December 31, 2013, all of the Company's outstanding borrowings were related to Agency RMBS.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incurs an annual base management fee in an amount equal to 1.5% of shareholders' equity (as defined in its management agreement), which is payable quarterly in arrears. For the quarter ended December 31, 2013, the Company's expense ratio, defined as management fees and operating expenses as a percentage of shareholders' equity, was 3.3%, on an annualized basis. Operating expenses exclude interest expense.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0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December 12, 2013, the Company's Board of Trustees declared a fourth quarter dividend of $0.50 per share, or $4.6 million, which was paid on January 27, 2014 to shareholders of record on December 31, 2013. Since its initial public offering in May 2013, through December 31, 2013, total dividends paid or declared amounted to $1.14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13, 2013, the Company's Board of Trustees approved the adoption of a $10 million share repurchase program. The program, which is open-ended in duration, allows the Company to make repurchases from time to time on the open market or in negotiated transactions. Repurchases are at the Company's discretion, subject to applicable law, share availability, price and the Company's financial performance, among other considerations. To date, the Company has not repurchased any shares under the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Core Earnings to Net Income (Loss)</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Core Earnings consists of net income (loss), excluding realized and unrealized gains and losses on real estate securities and financial derivatives, and, if applicable, items of income or loss that are of a non-recurring nature. Core Earnings includes net realized and unrealized gains (losses) associated with payments and accruals of periodic payments on interest rate swaps. Core Earnings is a supplemental non-GAAP financial measure. The Company believes that Core Earnings provides information useful to investors because it is a metric used by management to assess performance and to evaluate the effective net yield provided by the portfolio. Moreover, one of the Company's objectives is to generate income from the net interest margin on the portfolio and Core Earnings is used to help measure the extent to which this objective is being achieved. However, because Core Earnings is an incomplete measure of the Company's financial results and differs from net income (loss) computed in accordance with GAAP, it should be considered as supplementary to, and not as a substitute for, net income (loss) computed in accordance with GAAP.</w:t>
      </w:r>
    </w:p>
    <w:p>
      <w:pPr>
        <w:spacing w:after="0" w:line="1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following table reconciles, for the three month periods ended December 31, 2013 and September 30, 2013, the Company's Core Earnings on a consolidated basis to the line on its Consolidated Statement of Operations entitled Net Income (Loss), which the Company believes is the most directly comparable GAAP measure on its Consolidated Statement of Operations to Core Earnings: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Three Month</w:t>
            </w:r>
          </w:p>
        </w:tc>
        <w:tc>
          <w:tcPr>
            <w:tcW w:w="340" w:type="dxa"/>
            <w:vAlign w:val="bottom"/>
          </w:tcPr>
          <w:p>
            <w:pPr>
              <w:spacing w:after="0"/>
              <w:rPr>
                <w:sz w:val="17"/>
                <w:szCs w:val="17"/>
                <w:color w:val="auto"/>
              </w:rPr>
            </w:pPr>
          </w:p>
        </w:tc>
        <w:tc>
          <w:tcPr>
            <w:tcW w:w="1720" w:type="dxa"/>
            <w:vAlign w:val="bottom"/>
          </w:tcPr>
          <w:p>
            <w:pPr>
              <w:jc w:val="right"/>
              <w:ind w:right="492"/>
              <w:spacing w:after="0"/>
              <w:rPr>
                <w:sz w:val="20"/>
                <w:szCs w:val="20"/>
                <w:color w:val="auto"/>
              </w:rPr>
            </w:pPr>
            <w:r>
              <w:rPr>
                <w:rFonts w:ascii="Arial" w:cs="Arial" w:eastAsia="Arial" w:hAnsi="Arial"/>
                <w:sz w:val="16"/>
                <w:szCs w:val="16"/>
                <w:b w:val="1"/>
                <w:bCs w:val="1"/>
                <w:color w:val="auto"/>
              </w:rPr>
              <w:t>Three Month</w:t>
            </w:r>
          </w:p>
        </w:tc>
      </w:tr>
      <w:tr>
        <w:trPr>
          <w:trHeight w:val="203"/>
        </w:trPr>
        <w:tc>
          <w:tcPr>
            <w:tcW w:w="7200" w:type="dxa"/>
            <w:vAlign w:val="bottom"/>
          </w:tcPr>
          <w:p>
            <w:pPr>
              <w:spacing w:after="0"/>
              <w:rPr>
                <w:sz w:val="17"/>
                <w:szCs w:val="17"/>
                <w:color w:val="auto"/>
              </w:rPr>
            </w:pPr>
          </w:p>
        </w:tc>
        <w:tc>
          <w:tcPr>
            <w:tcW w:w="2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Period Ended December 31,</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Period Ended September 30,</w:t>
            </w:r>
          </w:p>
        </w:tc>
      </w:tr>
      <w:tr>
        <w:trPr>
          <w:trHeight w:val="23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amounts)</w:t>
            </w: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2013</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Less:</w:t>
            </w: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losses on real estate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(24,173)</w:t>
            </w:r>
          </w:p>
        </w:tc>
      </w:tr>
      <w:tr>
        <w:trPr>
          <w:trHeight w:val="270"/>
        </w:trPr>
        <w:tc>
          <w:tcPr>
            <w:tcW w:w="7200" w:type="dxa"/>
            <w:vAlign w:val="bottom"/>
          </w:tcPr>
          <w:p>
            <w:pPr>
              <w:ind w:left="280"/>
              <w:spacing w:after="0" w:line="270" w:lineRule="exact"/>
              <w:rPr>
                <w:sz w:val="20"/>
                <w:szCs w:val="20"/>
                <w:color w:val="auto"/>
              </w:rPr>
            </w:pPr>
            <w:r>
              <w:rPr>
                <w:rFonts w:ascii="Arial" w:cs="Arial" w:eastAsia="Arial" w:hAnsi="Arial"/>
                <w:sz w:val="18"/>
                <w:szCs w:val="18"/>
                <w:color w:val="auto"/>
              </w:rPr>
              <w:t>Net realized gains (losses) on financial derivatives, excluding periodic payments</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4,224</w:t>
            </w: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net unrealized gains (losses) on real estate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30,239</w:t>
            </w: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94"/>
              </w:rPr>
              <w:t>Change in net unrealized gains (losses) on financial derivatives, excluding accrued periodic</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7200" w:type="dxa"/>
            <w:vAlign w:val="bottom"/>
            <w:tcBorders>
              <w:bottom w:val="single" w:sz="8" w:color="CCEEFF"/>
            </w:tcBorders>
          </w:tcPr>
          <w:p>
            <w:pPr>
              <w:ind w:left="280"/>
              <w:spacing w:after="0" w:line="257" w:lineRule="exact"/>
              <w:rPr>
                <w:sz w:val="20"/>
                <w:szCs w:val="20"/>
                <w:color w:val="auto"/>
              </w:rPr>
            </w:pPr>
            <w:r>
              <w:rPr>
                <w:rFonts w:ascii="Arial" w:cs="Arial" w:eastAsia="Arial" w:hAnsi="Arial"/>
                <w:sz w:val="18"/>
                <w:szCs w:val="18"/>
                <w:color w:val="auto"/>
              </w:rPr>
              <w:t>payments</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15,167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(9,063)</w:t>
            </w: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Core Earnings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6,789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5,558</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9,139,842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9,133,940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Core Earnings Per Share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0.61</w:t>
            </w:r>
          </w:p>
        </w:tc>
      </w:tr>
    </w:tbl>
    <w:p>
      <w:pPr>
        <w:spacing w:after="0" w:line="89" w:lineRule="exact"/>
        <w:rPr>
          <w:sz w:val="20"/>
          <w:szCs w:val="20"/>
          <w:color w:val="auto"/>
        </w:rPr>
      </w:pPr>
    </w:p>
    <w:p>
      <w:pPr>
        <w:ind w:left="660" w:right="320" w:hanging="652"/>
        <w:spacing w:after="0" w:line="247" w:lineRule="auto"/>
        <w:tabs>
          <w:tab w:leader="none" w:pos="336"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 period ended December 31, 2013, represents Net realized gains (losses) on financial derivatives of $(5,340) less Net realized gains (losses) on periodic settlements of interest rate swaps of $(5,180). For the three month period ended September 30, 2013, represents Net realized gains (losses) on financial derivatives of $4,273 less Net realized gains (losses) on periodic settlements of interest rate swaps of $49.</w:t>
      </w:r>
    </w:p>
    <w:p>
      <w:pPr>
        <w:spacing w:after="0" w:line="1" w:lineRule="exact"/>
        <w:rPr>
          <w:rFonts w:ascii="Arial" w:cs="Arial" w:eastAsia="Arial" w:hAnsi="Arial"/>
          <w:sz w:val="14"/>
          <w:szCs w:val="14"/>
          <w:color w:val="auto"/>
        </w:rPr>
      </w:pPr>
    </w:p>
    <w:p>
      <w:pPr>
        <w:ind w:left="660" w:right="300" w:hanging="652"/>
        <w:spacing w:after="0" w:line="276" w:lineRule="auto"/>
        <w:tabs>
          <w:tab w:leader="none" w:pos="336"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the three month period ended December 31, 2013, represents Net change in unrealized gains (losses) on financial derivatives of $17,780 less Change in net unrealized gains (losses) on accrued periodic settlements of interest rate swaps of $2,613. For the three month period ended September 30, 2013, represents Net change in unrealized gains (losses) on financial derivatives of $(12,172) less Change in net unrealized gains (losses) on accrued periodic settlements of interest rate swaps of $(3,109).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0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Ellington Residential Mortgage REIT</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Ellington Residential Mortgage REIT is a mortgage real estate investment trust, or "REIT," that specializes in acquiring, investing in and managing residential mortgage- and real estate-related assets, with a primary focus on residential mortgage-backed securities, or "RMBS," for which the principal and interest payments are guaranteed by a U.S. government agency or a U.S. government-sponsored enterprise. The Company intends to make the election to be taxed as a REIT when it files its tax return for the short taxable period May 1, 2013 through December 31, 2013. Ellington Residential Mortgage REIT is externally managed and advised by Ellington Residential Mortgage Management LLC, an affiliate of Ellington Management Group,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will host a conference call at 11:00 a.m. Eastern Time on Wednesday, February 19, 2014, to discuss its financial results for the quarter ended December 31, 2013. To participate in the event by telephone, please dial (877) 437-3698 at least 10 minutes prior to the start time and reference the conference ID number 30140095. International callers should dial (810) 740-4679 and reference the same conference ID number. The conference call will also be webcast live over the Internet and can be accessed via the "For Our Shareholders" section of the Company's web site at www.earnreit.com. To listen to the live webcast, please visit www.earnreit.com at least 15 minutes prior to the start of the call to register, download, and install necessary audio software. In connection with the release of these financial results, the Company also posted an investor presentation, that will accompany the conference call, on its website at www.earnreit.com under "For Our Shareholders—Presentations."</w:t>
      </w:r>
    </w:p>
    <w:p>
      <w:pPr>
        <w:spacing w:after="0" w:line="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dial-in replay of the conference call will be available on Wednesday, February 19, 2014, at approximately 2:00 p.m. Eastern Time through Wednesday, February 26, 2014 at approximately 11:59 p.m. Eastern Time. To access this replay, please dial (800) 585-8367 and enter the conference ID number 30140095. International callers should dial (404) 537-3406 and enter the same conference ID number. A replay of the conference call will also be archived on the Company's web site at www.earnreit.com.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safe harbor provisions of the Private Securities Litigation Reform Act of 1995. Forward-looking statements involve numerous risks and uncertainties. Actual results may differ from the Company's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Examples of forward-looking statements in this press release include, without limitation, management's beliefs regarding the current economic and investment environment, the Company's ability to implement its investment and hedging strategies, the Company's future prospects and the protection of the Company's net interest margin from prepayments, volatility and its impact on the Company, the performance of the Company's investment and hedging strategies, the Company's exposure to prepayment risk in its Agency portfolio, estimated effects on the fair value of the Company's MBS and interest rate derivative holdings of a hypothetical change in interest rates, statements regarding the Company's share repurchase program, including the amount of shares to be repurchased, and statements regarding the drivers of the Company's returns. The Company's results can fluctuate from month to month and from quarter to quarter depending on a variety of factors, some of which are beyond the Company's control and/or are difficult to predict, including, without limitation, changes in interest rates and the market value of the Company's securities, changes in mortgage default rates and prepayment rates, the Company's ability to borrow to finance its assets, changes in government regulations affecting the Company's business, the Company's ability to maintain its exemption from registration under the Investment Company Act of 1940 and other changes in market conditions and economic trends. Furthermore, forward-looking statements are subject to risks and uncertainties, including, among other things, those described in Exhibit 99.1 to the Company's Quarterly Report on Form 10-Q for the quarter ended March 31, 2013 which can be accessed through the link to our SEC filings under "For Our Shareholders" on our website (www.earnreit.com) or at the SEC's website (www.sec.gov). Other risks, uncertainties, and factors that could cause actual results to differ materially from those projected may be described from time to time in reports we file with the SEC, including reports on Forms 10-Q, 10-K and 8-K. The Company undertakes no obligation to update or revise any forward-looking statements, whether as a result of new information, future events, or otherwise.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0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ELLINGTON RESIDENTIAL MORTGAGE REIT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 Period Ended</w:t>
            </w:r>
          </w:p>
        </w:tc>
        <w:tc>
          <w:tcPr>
            <w:tcW w:w="12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182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2013</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share amounts)</w:t>
            </w:r>
          </w:p>
        </w:tc>
        <w:tc>
          <w:tcPr>
            <w:tcW w:w="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20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 (EXPENSE)</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27,866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Total net interest income</w:t>
            </w:r>
          </w:p>
        </w:tc>
        <w:tc>
          <w:tcPr>
            <w:tcW w:w="8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24,810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Management fees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OTHER INCOME (LOSS)</w:t>
            </w:r>
          </w:p>
        </w:tc>
        <w:tc>
          <w:tcPr>
            <w:tcW w:w="8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losses on real estate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(37,456)</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Net realized gains (losses) on financial derivatives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Change in net unrealized gains (losses) on real estate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w w:val="99"/>
              </w:rPr>
              <w:t>Change in net unrealized gains (losses) on financial derivatives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33,894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other income (loss)</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0" w:type="dxa"/>
            <w:vAlign w:val="bottom"/>
          </w:tcPr>
          <w:p>
            <w:pPr>
              <w:spacing w:after="0"/>
              <w:rPr>
                <w:sz w:val="1"/>
                <w:szCs w:val="1"/>
                <w:color w:val="auto"/>
              </w:rPr>
            </w:pPr>
          </w:p>
        </w:tc>
      </w:tr>
      <w:tr>
        <w:trPr>
          <w:trHeight w:val="297"/>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8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6,785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9,139,842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9,133,940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6,566,656</w:t>
            </w:r>
          </w:p>
        </w:tc>
        <w:tc>
          <w:tcPr>
            <w:tcW w:w="0" w:type="dxa"/>
            <w:vAlign w:val="bottom"/>
          </w:tcPr>
          <w:p>
            <w:pPr>
              <w:spacing w:after="0"/>
              <w:rPr>
                <w:sz w:val="1"/>
                <w:szCs w:val="1"/>
                <w:color w:val="auto"/>
              </w:rPr>
            </w:pPr>
          </w:p>
        </w:tc>
      </w:tr>
      <w:tr>
        <w:trPr>
          <w:trHeight w:val="675"/>
        </w:trPr>
        <w:tc>
          <w:tcPr>
            <w:tcW w:w="5200" w:type="dxa"/>
            <w:vAlign w:val="bottom"/>
          </w:tcPr>
          <w:p>
            <w:pPr>
              <w:spacing w:after="0"/>
              <w:rPr>
                <w:sz w:val="24"/>
                <w:szCs w:val="24"/>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ELLINGTON RESIDENTIAL MORTGAGE REIT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61"/>
        </w:trPr>
        <w:tc>
          <w:tcPr>
            <w:tcW w:w="6400" w:type="dxa"/>
            <w:vAlign w:val="bottom"/>
          </w:tcPr>
          <w:p>
            <w:pPr>
              <w:spacing w:after="0"/>
              <w:rPr>
                <w:sz w:val="22"/>
                <w:szCs w:val="22"/>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2013</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2013</w:t>
            </w:r>
          </w:p>
        </w:tc>
        <w:tc>
          <w:tcPr>
            <w:tcW w:w="200" w:type="dxa"/>
            <w:vAlign w:val="bottom"/>
          </w:tcPr>
          <w:p>
            <w:pPr>
              <w:spacing w:after="0"/>
              <w:rPr>
                <w:sz w:val="22"/>
                <w:szCs w:val="22"/>
                <w:color w:val="auto"/>
              </w:rPr>
            </w:pPr>
          </w:p>
        </w:tc>
        <w:tc>
          <w:tcPr>
            <w:tcW w:w="1400" w:type="dxa"/>
            <w:vAlign w:val="bottom"/>
          </w:tcPr>
          <w:p>
            <w:pPr>
              <w:jc w:val="right"/>
              <w:ind w:right="450"/>
              <w:spacing w:after="0" w:line="262"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r>
      <w:tr>
        <w:trPr>
          <w:trHeight w:val="258"/>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share amounts)</w:t>
            </w:r>
          </w:p>
        </w:tc>
        <w:tc>
          <w:tcPr>
            <w:tcW w:w="4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50,112</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44,331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18,161</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securities, at fair value</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Due from brokers</w:t>
            </w:r>
          </w:p>
        </w:tc>
        <w:tc>
          <w:tcPr>
            <w:tcW w:w="4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derivatives–assets, at fair value</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Receivable for securities sold</w:t>
            </w:r>
          </w:p>
        </w:tc>
        <w:tc>
          <w:tcPr>
            <w:tcW w:w="4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55,060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receivable</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6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Repurchase agreements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1,310,347</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1,292,946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 for securities purchased</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Due to brokers</w:t>
            </w:r>
          </w:p>
        </w:tc>
        <w:tc>
          <w:tcPr>
            <w:tcW w:w="4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derivatives–liabilities, at fair value</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Dividend payable</w:t>
            </w:r>
          </w:p>
        </w:tc>
        <w:tc>
          <w:tcPr>
            <w:tcW w:w="4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Management fee payable</w:t>
            </w:r>
          </w:p>
        </w:tc>
        <w:tc>
          <w:tcPr>
            <w:tcW w:w="4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1,343,910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1,441,886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1,192</w:t>
            </w:r>
          </w:p>
        </w:tc>
      </w:tr>
      <w:tr>
        <w:trPr>
          <w:trHeight w:val="27"/>
        </w:trPr>
        <w:tc>
          <w:tcPr>
            <w:tcW w:w="6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w w:val="97"/>
              </w:rPr>
              <w:t>Preferred shares, par value $0.01 per share, 100,000,000 shares authorized; (0</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shares issued and outstanding, respectively)</w:t>
            </w:r>
          </w:p>
        </w:tc>
        <w:tc>
          <w:tcPr>
            <w:tcW w:w="4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par value $0.01 per share, 500,000,000 shares authorized;</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2"/>
              </w:rPr>
              <w:t>(9,139,842, 9,139,842, and 1,633,378 shares issued and outstanding, respectively)</w:t>
            </w: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4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32,674</w:t>
            </w:r>
          </w:p>
        </w:tc>
      </w:tr>
      <w:tr>
        <w:trPr>
          <w:trHeight w:val="27"/>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Total Shareholders' Equity</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167,180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171,832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30,964</w:t>
            </w:r>
          </w:p>
        </w:tc>
      </w:tr>
      <w:tr>
        <w:trPr>
          <w:trHeight w:val="27"/>
        </w:trPr>
        <w:tc>
          <w:tcPr>
            <w:tcW w:w="6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1,511,090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1,613,718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32,156</w:t>
            </w:r>
          </w:p>
        </w:tc>
      </w:tr>
      <w:tr>
        <w:trPr>
          <w:trHeight w:val="20"/>
        </w:trPr>
        <w:tc>
          <w:tcPr>
            <w:tcW w:w="6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Derived from audited financial statements as of December 31, 2012.</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2019-12-08T06:23:36Z</dcterms:created>
  <dcterms:modified xsi:type="dcterms:W3CDTF">2019-12-08T06:23:36Z</dcterms:modified>
</cp:coreProperties>
</file>