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2216150</wp:posOffset>
            </wp:positionH>
            <wp:positionV relativeFrom="paragraph">
              <wp:posOffset>210185</wp:posOffset>
            </wp:positionV>
            <wp:extent cx="20828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N-CSR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2216150</wp:posOffset>
            </wp:positionH>
            <wp:positionV relativeFrom="paragraph">
              <wp:posOffset>198120</wp:posOffset>
            </wp:positionV>
            <wp:extent cx="20828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CERTIFIED SHAREHOLDER REPORT OF REGISTERED MANAGEMENT INVESTMENT COMPANIES</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Investment Company Act file number 811-24071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2216150</wp:posOffset>
            </wp:positionH>
            <wp:positionV relativeFrom="paragraph">
              <wp:posOffset>225425</wp:posOffset>
            </wp:positionV>
            <wp:extent cx="20828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Ellington Credit Company</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2216150</wp:posOffset>
            </wp:positionH>
            <wp:positionV relativeFrom="paragraph">
              <wp:posOffset>163195</wp:posOffset>
            </wp:positionV>
            <wp:extent cx="20828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53 Forest Avenue, Suite 301</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Old Greenwich, CT 06870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(203) 698-1200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and telephone number, including area code, of principal executive offices)</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Daniel Margolis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53 Forest Avenue, Suite 301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Old Greenwich, CT 06870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2216150</wp:posOffset>
            </wp:positionH>
            <wp:positionV relativeFrom="paragraph">
              <wp:posOffset>177165</wp:posOffset>
            </wp:positionV>
            <wp:extent cx="20828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fiscal year end: March 31</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reporting period: September 30, 2025</w:t>
      </w:r>
    </w:p>
    <w:p>
      <w:pPr>
        <w:sectPr>
          <w:pgSz w:w="11900" w:h="16838" w:orient="portrait"/>
          <w:cols w:equalWidth="0" w:num="1">
            <w:col w:w="10240"/>
          </w:cols>
          <w:pgMar w:left="820" w:top="1440" w:right="839" w:bottom="1440" w:gutter="0" w:footer="0" w:header="0"/>
        </w:sectPr>
      </w:pPr>
    </w:p>
    <w:bookmarkStart w:id="1" w:name="page2"/>
    <w:bookmarkEnd w:id="1"/>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Report to Stockholders</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semi-annual report to shareholders of the registrant for the six-month period ending September 30, 2025, is filed herewith.</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1016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ELLINGTON CREDIT COMPANY</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1016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6"/>
        </w:trPr>
        <w:tc>
          <w:tcPr>
            <w:tcW w:w="10160" w:type="dxa"/>
            <w:vAlign w:val="bottom"/>
          </w:tcPr>
          <w:p>
            <w:pPr>
              <w:spacing w:after="0"/>
              <w:rPr>
                <w:sz w:val="24"/>
                <w:szCs w:val="24"/>
                <w:color w:val="auto"/>
              </w:rPr>
            </w:pPr>
          </w:p>
        </w:tc>
        <w:tc>
          <w:tcPr>
            <w:tcW w:w="106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3"/>
        </w:trPr>
        <w:tc>
          <w:tcPr>
            <w:tcW w:w="101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Letter to Shareholders and Management Discussion of Fund Performance</w:t>
            </w:r>
          </w:p>
        </w:tc>
        <w:tc>
          <w:tcPr>
            <w:tcW w:w="1040" w:type="dxa"/>
            <w:vAlign w:val="bottom"/>
            <w:gridSpan w:val="3"/>
          </w:tcPr>
          <w:p>
            <w:pPr>
              <w:jc w:val="right"/>
              <w:spacing w:after="0" w:line="182" w:lineRule="exact"/>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5"/>
                <w:szCs w:val="15"/>
                <w:color w:val="auto"/>
              </w:rPr>
            </w:pPr>
          </w:p>
        </w:tc>
      </w:tr>
      <w:tr>
        <w:trPr>
          <w:trHeight w:val="20"/>
        </w:trPr>
        <w:tc>
          <w:tcPr>
            <w:tcW w:w="10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Important Information</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18"/>
                <w:szCs w:val="18"/>
                <w:color w:val="auto"/>
              </w:rPr>
            </w:pPr>
          </w:p>
        </w:tc>
      </w:tr>
      <w:tr>
        <w:trPr>
          <w:trHeight w:val="20"/>
        </w:trPr>
        <w:tc>
          <w:tcPr>
            <w:tcW w:w="10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Summary of Certain Portfolio Characteristics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20" w:type="dxa"/>
            <w:vAlign w:val="bottom"/>
          </w:tcPr>
          <w:p>
            <w:pPr>
              <w:spacing w:after="0"/>
              <w:rPr>
                <w:sz w:val="18"/>
                <w:szCs w:val="18"/>
                <w:color w:val="auto"/>
              </w:rPr>
            </w:pPr>
          </w:p>
        </w:tc>
      </w:tr>
      <w:tr>
        <w:trPr>
          <w:trHeight w:val="20"/>
        </w:trPr>
        <w:tc>
          <w:tcPr>
            <w:tcW w:w="10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Financial Statements for the Six-Month Period Ended September 30, 2025 (Unaudited)</w:t>
            </w:r>
          </w:p>
        </w:tc>
        <w:tc>
          <w:tcPr>
            <w:tcW w:w="8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Pr>
          <w:p>
            <w:pPr>
              <w:spacing w:after="0"/>
              <w:rPr>
                <w:sz w:val="18"/>
                <w:szCs w:val="18"/>
                <w:color w:val="auto"/>
              </w:rPr>
            </w:pPr>
          </w:p>
        </w:tc>
      </w:tr>
      <w:tr>
        <w:trPr>
          <w:trHeight w:val="209"/>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Summary of Risk Factors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18"/>
                <w:szCs w:val="18"/>
                <w:color w:val="auto"/>
              </w:rPr>
            </w:pPr>
          </w:p>
        </w:tc>
      </w:tr>
      <w:tr>
        <w:trPr>
          <w:trHeight w:val="912"/>
        </w:trPr>
        <w:tc>
          <w:tcPr>
            <w:tcW w:w="101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88"/>
              </w:rPr>
              <w:t>2</w:t>
            </w:r>
          </w:p>
        </w:tc>
        <w:tc>
          <w:tcPr>
            <w:tcW w:w="8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Letter to Shareholders and Management’s Discussion of Fund Performance</w:t>
      </w:r>
    </w:p>
    <w:p>
      <w:pPr>
        <w:spacing w:after="0" w:line="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Dear Fellow Shareholders:</w:t>
      </w:r>
    </w:p>
    <w:p>
      <w:pPr>
        <w:spacing w:after="0" w:line="49" w:lineRule="exact"/>
        <w:rPr>
          <w:sz w:val="20"/>
          <w:szCs w:val="20"/>
          <w:color w:val="auto"/>
        </w:rPr>
      </w:pPr>
    </w:p>
    <w:p>
      <w:pPr>
        <w:ind w:firstLine="405"/>
        <w:spacing w:after="0" w:line="231" w:lineRule="exact"/>
        <w:rPr>
          <w:sz w:val="20"/>
          <w:szCs w:val="20"/>
          <w:color w:val="auto"/>
        </w:rPr>
      </w:pPr>
      <w:r>
        <w:rPr>
          <w:rFonts w:ascii="Times New Roman" w:cs="Times New Roman" w:eastAsia="Times New Roman" w:hAnsi="Times New Roman"/>
          <w:sz w:val="18"/>
          <w:szCs w:val="18"/>
          <w:color w:val="auto"/>
        </w:rPr>
        <w:t>We are pleased to provide you with the inaugural semi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annual report of Ellington Credit Company (NYSE: EARN) (“we,” “us,” “our,” or the “Fund”) for the six-month period ended September 30, 2025. This marks our first letter to shareholders since completing our April 1, 2025 conversion to a closed-end management investment company that has registered as an investment company under the Investment Company Act of 1940, as amended (the “1940 Act”) (the “Conversion”).</w:t>
      </w:r>
    </w:p>
    <w:p>
      <w:pPr>
        <w:spacing w:after="0" w:line="146" w:lineRule="exact"/>
        <w:rPr>
          <w:sz w:val="20"/>
          <w:szCs w:val="20"/>
          <w:color w:val="auto"/>
        </w:rPr>
      </w:pPr>
    </w:p>
    <w:p>
      <w:pPr>
        <w:jc w:val="both"/>
        <w:ind w:right="460" w:firstLine="405"/>
        <w:spacing w:after="0" w:line="266" w:lineRule="auto"/>
        <w:rPr>
          <w:sz w:val="20"/>
          <w:szCs w:val="20"/>
          <w:color w:val="auto"/>
        </w:rPr>
      </w:pPr>
      <w:r>
        <w:rPr>
          <w:rFonts w:ascii="Times New Roman" w:cs="Times New Roman" w:eastAsia="Times New Roman" w:hAnsi="Times New Roman"/>
          <w:sz w:val="18"/>
          <w:szCs w:val="18"/>
          <w:color w:val="auto"/>
        </w:rPr>
        <w:t>Following the Conversion, the Fund continues to be externally advised by an affiliate of Ellington Management Group, L.L.C., a leading fixed-income investment manager founded in 1994. The Fund benefits from Ellington’s three decades of experience in structured credit investing, portfolio construction, and disciplined risk management.</w:t>
      </w:r>
    </w:p>
    <w:p>
      <w:pPr>
        <w:spacing w:after="0" w:line="122"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Fund’s common shares trade on the New York Stock Exchange under the ticker symbol “EARN.” As of September 30, 2025, the net asset value (“NAV”) per common share was $5.99, and there were approximately 37.6 million common shares outstanding. The closing price per share of our common shares on September 30, 2025 was $5.45, which represented a 9.0% discount to NAV per common share.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OBJECTIVES AND STRATEGY</w:t>
      </w:r>
    </w:p>
    <w:p>
      <w:pPr>
        <w:spacing w:after="0" w:line="94"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Our primary investment objectives are to generate attractive current income and risk-adjusted total returns for shareholders. We seek to achieve these investment objectives by investing primarily in the mezzanine debt and equity tranches of corporate collateralized loan obligations (“CLOs”), which are securitizations predominantly backed by portfolios of non-investment-grade, first-lien senior secured corporate loans. Certain CLOs may also hold a limited portion (typically less than 10%) of other corporate credit assets, such as second-lien or unsecured loans and bonds.</w:t>
      </w:r>
    </w:p>
    <w:p>
      <w:pPr>
        <w:spacing w:after="0" w:line="126" w:lineRule="exact"/>
        <w:rPr>
          <w:sz w:val="20"/>
          <w:szCs w:val="20"/>
          <w:color w:val="auto"/>
        </w:rPr>
      </w:pPr>
    </w:p>
    <w:p>
      <w:pPr>
        <w:ind w:right="360" w:firstLine="405"/>
        <w:spacing w:after="0" w:line="261" w:lineRule="auto"/>
        <w:rPr>
          <w:sz w:val="20"/>
          <w:szCs w:val="20"/>
          <w:color w:val="auto"/>
        </w:rPr>
      </w:pPr>
      <w:r>
        <w:rPr>
          <w:rFonts w:ascii="Times New Roman" w:cs="Times New Roman" w:eastAsia="Times New Roman" w:hAnsi="Times New Roman"/>
          <w:sz w:val="18"/>
          <w:szCs w:val="18"/>
          <w:color w:val="auto"/>
        </w:rPr>
        <w:t>Our investment philosophy emphasizes value, diversification, and flexibility across the CLO capital structure. We allocate dynamically between mezzanine debt and equity tranches and across both U.S. and European markets, allowing us to shift up or down in the capital structure and across geographies as fundamentals and valuations evolve. Active trading is a core element of our strategy. During the six-month period ended September 30, 2025, we executed 171 discrete CLO trades, reflecting our commitment to identifying and monetizing relative-value opportunities as they emerge.</w:t>
      </w:r>
    </w:p>
    <w:p>
      <w:pPr>
        <w:spacing w:after="0" w:line="126"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We employ moderate leverage, with total debt representing about 78% of total net assets as of September 30, 2025. As of September 30, 3025, all of our borrowings consisted of reverse repurchase agreements, with an average overall funding cost of 5.09%. We continue to evaluate the potential issuance of longer-term unsecured debt to expand our earnings capacity.</w:t>
      </w:r>
    </w:p>
    <w:p>
      <w:pPr>
        <w:spacing w:after="0" w:line="122"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We complement our active trading approach with disciplined risk management. To that end, we opportunistically use derivative instruments to hedge against adverse credit events and credit-spread widening. These hedges, together with prudent leverage and liquidity management as well as rigorous portfolio monitoring, are designed to protect NAV and reduce volatility across market cycles.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ACCOMPLISHMENTS FOR THE SIX-MONTH PERIOD ENDED SEPTEMBER 30, 2025</w:t>
      </w:r>
    </w:p>
    <w:p>
      <w:pPr>
        <w:spacing w:after="0" w:line="91" w:lineRule="exact"/>
        <w:rPr>
          <w:sz w:val="20"/>
          <w:szCs w:val="20"/>
          <w:color w:val="auto"/>
        </w:rPr>
      </w:pPr>
    </w:p>
    <w:p>
      <w:pPr>
        <w:ind w:left="660" w:hanging="328"/>
        <w:spacing w:after="0"/>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GAAP net income of $14.5 million, or $0.39 per common share, corresponding to an annualized NAV-based total return</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15.8%.</w:t>
      </w:r>
    </w:p>
    <w:p>
      <w:pPr>
        <w:spacing w:after="0" w:line="4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Produced net investment income ("NII") of $15.0 million, or $0.40 per common share.</w:t>
      </w:r>
    </w:p>
    <w:p>
      <w:pPr>
        <w:spacing w:after="0" w:line="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full distribution coverage by NII in September, underscoring the income-generating strength of our portfolio.</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Declared total distributions of $0.48 per common share ($0.08 per month).</w:t>
      </w:r>
    </w:p>
    <w:p>
      <w:pPr>
        <w:spacing w:after="0" w:line="90"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Conversion, efficiently liquidated all remaining mortgage-related assets and hedges with minimal NAV impact (approximately $0.01 per common share).</w:t>
      </w:r>
    </w:p>
    <w:p>
      <w:pPr>
        <w:spacing w:after="0" w:line="2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CLO portfolio</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by approximately 52% to $380 million.</w:t>
      </w:r>
    </w:p>
    <w:p>
      <w:pPr>
        <w:spacing w:after="0" w:line="4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171 CLO trades, consisting of $206.3 million of portfolio purchases and $45.1 million of portfolio sales.</w:t>
      </w:r>
    </w:p>
    <w:p>
      <w:pPr>
        <w:spacing w:after="0" w:line="8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$2.1 million of net realized gains, or $0.06 per common share, from opportunistic sales and redemptions.</w:t>
      </w:r>
    </w:p>
    <w:p>
      <w:pPr>
        <w:spacing w:after="0" w:line="302" w:lineRule="exact"/>
        <w:rPr>
          <w:rFonts w:ascii="Times New Roman" w:cs="Times New Roman" w:eastAsia="Times New Roman" w:hAnsi="Times New Roman"/>
          <w:sz w:val="18"/>
          <w:szCs w:val="18"/>
          <w:color w:val="auto"/>
        </w:rPr>
      </w:pPr>
    </w:p>
    <w:p>
      <w:pPr>
        <w:ind w:left="180" w:right="120" w:hanging="162"/>
        <w:spacing w:after="0" w:line="231" w:lineRule="auto"/>
        <w:rPr>
          <w:rFonts w:ascii="Times New Roman" w:cs="Times New Roman" w:eastAsia="Times New Roman" w:hAnsi="Times New Roman"/>
          <w:sz w:val="18"/>
          <w:szCs w:val="18"/>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 xml:space="preserve"> Total return based on NAV is calculated assuming shares of the Fund’s common stock were purchased at the NAV per common share at the beginning of the period, and distributions paid to common shareholders during the period were reinvested at prices obtained by the Fund’s DRIP, and the total number of shares were sold at the Fund’s NAV per common share on the last day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22631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ind w:left="120" w:hanging="112"/>
        <w:spacing w:after="0" w:line="196" w:lineRule="auto"/>
        <w:tabs>
          <w:tab w:leader="none" w:pos="120"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Also includes CLO-related corporate debt and equity securities.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927" w:right="359" w:bottom="1440" w:gutter="0" w:footer="0" w:header="0"/>
        </w:sectPr>
      </w:pPr>
    </w:p>
    <w:bookmarkStart w:id="3" w:name="page4"/>
    <w:bookmarkEnd w:id="3"/>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GAAP yield for the period, based on amortized cost, of 15.6%, on the total CLO portfolio.</w:t>
      </w:r>
    </w:p>
    <w:p>
      <w:pPr>
        <w:spacing w:after="0" w:line="86" w:lineRule="exact"/>
        <w:rPr>
          <w:rFonts w:ascii="Times New Roman" w:cs="Times New Roman" w:eastAsia="Times New Roman" w:hAnsi="Times New Roman"/>
          <w:sz w:val="18"/>
          <w:szCs w:val="18"/>
          <w:color w:val="auto"/>
        </w:rPr>
      </w:pPr>
    </w:p>
    <w:p>
      <w:pPr>
        <w:ind w:left="660" w:right="320" w:hanging="328"/>
        <w:spacing w:after="0" w:line="23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$32.1 million, or $0.85 per common share, in recurring cash distributions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from CLO portfolio</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during the period, which was well in excess of total Fund expenses and distributions.</w:t>
      </w:r>
    </w:p>
    <w:p>
      <w:pPr>
        <w:spacing w:after="0" w:line="6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 per common share was $5.99 as of September 30, 2025.</w:t>
      </w:r>
    </w:p>
    <w:p>
      <w:pPr>
        <w:spacing w:after="0" w:line="1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Portfolio Overview</w:t>
      </w:r>
    </w:p>
    <w:p>
      <w:pPr>
        <w:spacing w:after="0" w:line="94"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Shortly after the Conversion, we completed the disposition of our legacy mortgage-related assets and hedges, with minimal impact on NAV, and began rapidly expanding our CLO portfolio. The timing of the Conversion proved advantageous, as heightened macroeconomic uncertainty following the unexpected tariff announcements in early April led to sharp declines in asset prices and elevated market volatility. We were able to capitalize on this opportunity by efficiently redeploying capital from the mortgage dispositions into CLO investments near their April lows, ahead of the subsequent market rebound. We continued to identify and execute high-conviction investments throughout the six-month period as conditions stabilized and opportunities evolved.</w:t>
      </w:r>
    </w:p>
    <w:p>
      <w:pPr>
        <w:spacing w:after="0" w:line="133"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During this period, we emphasized purchases of seasoned mezzanine debt tranches, which offer attractive yields and downside protection, while moderating exposure to new-issue equity given less appealing pricing dynamics. We also continued to rotate into higher-quality, longer-dated equity positions in the secondary market. We executed 171 discrete CLO trades, purchasing about $206.3 million of CLO investments and selling $45.1 million. As a result, our CLO portfolio grew by 52%, from $250 million at March 31, 2025 to $380 million at September 30, 2025. As shown in the table below, our holdings at period-end consisted of $194.0 million of equity tranches ($184.8 million dollar-denominated and $9.2 million non-dollar-denominated) and $185.5 million of mezzanine debt tranches ($142.0 million dollar-denominated and $43.5 million non-dollar-denominated). The portfolio generated $32.1 million in recurring cash distributions, or $0.85 per common share, over the period. While we continue to invest opportunistically in both U.S. dollar and non-dollar-denominated CLOs based on relative value, we expect our portfolio to remain predominantly U.S. dollar-denominated.</w:t>
      </w:r>
    </w:p>
    <w:p>
      <w:pPr>
        <w:spacing w:after="0" w:line="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composition of the investment portfolio as of September 30, 2025.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300" w:type="dxa"/>
            <w:vAlign w:val="bottom"/>
          </w:tcPr>
          <w:p>
            <w:pPr>
              <w:spacing w:after="0"/>
              <w:rPr>
                <w:sz w:val="17"/>
                <w:szCs w:val="17"/>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0" w:type="dxa"/>
            <w:vAlign w:val="bottom"/>
          </w:tcPr>
          <w:p>
            <w:pPr>
              <w:spacing w:after="0"/>
              <w:rPr>
                <w:sz w:val="1"/>
                <w:szCs w:val="1"/>
                <w:color w:val="auto"/>
              </w:rPr>
            </w:pPr>
          </w:p>
        </w:tc>
      </w:tr>
      <w:tr>
        <w:trPr>
          <w:trHeight w:val="243"/>
        </w:trPr>
        <w:tc>
          <w:tcPr>
            <w:tcW w:w="6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0" w:type="dxa"/>
            <w:vAlign w:val="bottom"/>
          </w:tcPr>
          <w:p>
            <w:pPr>
              <w:spacing w:after="0"/>
              <w:rPr>
                <w:sz w:val="1"/>
                <w:szCs w:val="1"/>
                <w:color w:val="auto"/>
              </w:rPr>
            </w:pPr>
          </w:p>
        </w:tc>
      </w:tr>
      <w:tr>
        <w:trPr>
          <w:trHeight w:val="190"/>
        </w:trPr>
        <w:tc>
          <w:tcPr>
            <w:tcW w:w="6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CLO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140,385</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142,007</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37.3 %</w:t>
            </w:r>
          </w:p>
        </w:tc>
        <w:tc>
          <w:tcPr>
            <w:tcW w:w="0" w:type="dxa"/>
            <w:vAlign w:val="bottom"/>
          </w:tcPr>
          <w:p>
            <w:pPr>
              <w:spacing w:after="0"/>
              <w:rPr>
                <w:sz w:val="1"/>
                <w:szCs w:val="1"/>
                <w:color w:val="auto"/>
              </w:rPr>
            </w:pPr>
          </w:p>
        </w:tc>
      </w:tr>
      <w:tr>
        <w:trPr>
          <w:trHeight w:val="230"/>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European CLO debt</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41,770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43,541</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CLO debt</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182,155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185,548</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48.8 %</w:t>
            </w:r>
          </w:p>
        </w:tc>
        <w:tc>
          <w:tcPr>
            <w:tcW w:w="0" w:type="dxa"/>
            <w:vAlign w:val="bottom"/>
          </w:tcPr>
          <w:p>
            <w:pPr>
              <w:spacing w:after="0"/>
              <w:rPr>
                <w:sz w:val="1"/>
                <w:szCs w:val="1"/>
                <w:color w:val="auto"/>
              </w:rPr>
            </w:pPr>
          </w:p>
        </w:tc>
      </w:tr>
      <w:tr>
        <w:trPr>
          <w:trHeight w:val="22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CLO equity</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185,970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184,838</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48.6 %</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European CLO equity</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9,208</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CLO equity</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195,438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194,046</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51.0 %</w:t>
            </w: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CLO debt and equity</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377,593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379,594</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99.8 %</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48"/>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378,228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380,272</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Our CLO portfolio is diversified across U.S. and European markets and represents more than 75 underlying collateral managers, providing exposure to over 2,200 underlying corporate obligors across a wide range of industries. As of September 30, 2025, the weighted-average maturity of the corporate loans underlying our CLO portfolio was approximately 4.2 years, with an average facility size of $1.6 billion, supporting loan liquidity.</w:t>
      </w:r>
    </w:p>
    <w:p>
      <w:pPr>
        <w:spacing w:after="0" w:line="122"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As credit markets recovered and spreads tightened during the period, we added to our credit hedges at attractive entry points, while also maintaining a foreign currency hedge portfolio to manage exposure related to our European CLO investments. Our selective use of credit hedges, combined with prudent leverage and liquidity management, is designed to protect against downside risk and maintain flexibility as market conditions evolve.</w:t>
      </w:r>
    </w:p>
    <w:p>
      <w:pPr>
        <w:spacing w:after="0" w:line="1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Portfolio Performance</w:t>
      </w:r>
    </w:p>
    <w:p>
      <w:pPr>
        <w:spacing w:after="0" w:line="94"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Our investment portfolio generated strong results during the six-month period ended September 30, 2025. We began the period by exiting our legacy mortgage-related investments, and redeployed the proceeds into CLO investments following the April tariff-related sell-off, a timely move that boosted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22631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259" w:lineRule="exact"/>
        <w:rPr>
          <w:sz w:val="20"/>
          <w:szCs w:val="20"/>
          <w:color w:val="auto"/>
        </w:rPr>
      </w:pPr>
    </w:p>
    <w:p>
      <w:pPr>
        <w:ind w:left="80" w:right="120" w:hanging="72"/>
        <w:spacing w:after="0" w:line="205" w:lineRule="auto"/>
        <w:tabs>
          <w:tab w:leader="none" w:pos="102"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Recurring cash distributions primarily includes distributions received from our CLO investments but excludes cash received from CLO redemptions or sales during the quarter. Recurring cash distributions includes certain cash distributions that may be characterized as return of capital.</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12" w:right="339" w:bottom="1440" w:gutter="0" w:footer="0" w:header="0"/>
        </w:sectPr>
      </w:pPr>
    </w:p>
    <w:bookmarkStart w:id="4" w:name="page5"/>
    <w:bookmarkEnd w:id="4"/>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Overall, our results for the period were driven by strong net investment income and net realized and unrealized gains on CLO mezzanine debt. Active trading, as well as deal calls of mezzanine debt positions owned at discounts to par, contributed to realized gains. Offsetting these gains were net unrealized losses on CLO equity and net realized and unrealized losses on credit hedges designed to protect against downside risk. Notably, we achieved full distribution coverage by NII in September, underscoring the income-generating strength of our portfolio going forward.</w:t>
      </w:r>
    </w:p>
    <w:p>
      <w:pPr>
        <w:spacing w:after="0" w:line="126"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At September 30, 2025, our CLO portfolio had a fair value of $379.6 million and a weighted average projected yield of 13.4%, based on fair value, and we held cash and cash equivalents of $20.1 million.</w:t>
      </w:r>
    </w:p>
    <w:p>
      <w:pPr>
        <w:spacing w:after="0" w:line="1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Market Overview</w:t>
      </w:r>
    </w:p>
    <w:p>
      <w:pPr>
        <w:spacing w:after="0" w:line="94"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The six-month period ended September 30, 2025 began with pronounced volatility across most major asset classes, driven by investor concerns over tariffs and the potential for a broad economic slowdown. In early April, this uncertainty led to a spike in volatility, substantial widening in corporate credit spreads, and declines in leveraged loan prices across the U.S. and Europe. Market sentiment improved quickly, however, following the April 9 announcement of a 90-day pause on most tariffs, prompting a rebound in risk assets. Corporate credit spreads tightened and volatility declined over the remainder of the second calendar quarter, while sustained demand for leveraged loans and improving borrower fundamentals supported the CLO market.</w:t>
      </w:r>
    </w:p>
    <w:p>
      <w:pPr>
        <w:spacing w:after="0" w:line="129"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Momentum carried into the third calendar quarter, as credit markets benefited from a dovish shift by the Federal Reserve, which delivered its first interest rate cut of the year in September. Despite increased credit dispersion within the high-yield corporate bond market, corporate credit spreads tightened overall. Major equity indexes also rose on expectations of additional monetary easing.</w:t>
      </w:r>
    </w:p>
    <w:p>
      <w:pPr>
        <w:spacing w:after="0" w:line="122"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In the U.S. leveraged loan market, overall index prices rose during the six-month period, but performance varied sharply by credit quality. Lower-quality CCC-rated loans underperformed amid idiosyncratic default concerns, while higher-quality single-B-rated loans advanced on sustained CLO demand, further highlighting the theme of credit dispersion. The trailing 12-month default rate on the Morningstar LSTA U.S. Leveraged Loan Index rose from 0.82% at March 31 to 1.39% at September 30, 2025.</w:t>
      </w:r>
    </w:p>
    <w:p>
      <w:pPr>
        <w:spacing w:after="0" w:line="126"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Repricing activity remained elevated throughout the six-month period as callable, higher-quality loans continued to be repriced at lower rates, with price premiums on those loans giving way to new issuance at par with tighter spreads. In Europe, leveraged loan prices lagged the U.S., largely due to more extensive repricing activity.</w:t>
      </w:r>
    </w:p>
    <w:p>
      <w:pPr>
        <w:spacing w:after="0" w:line="122"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Leveraged loan issuance totaled a robust $640 billion during the six-month period, including $272 billion of repricings. Total CLO issuance was just over $265 billion during the period, including more than $160 billion of refinancings and resets, as equity investors and CLO managers capitalized on tightening debt spreads to refinance or reset existing deals. Despite intermittent market volatility, year-to-date issuance through September 2025 surpassed issuance over the same period in 2024, which was then a record for new CLO issuance.</w:t>
      </w:r>
    </w:p>
    <w:p>
      <w:pPr>
        <w:spacing w:after="0" w:line="126"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U.S. and European CLO debt spreads generally tightened during the six-month period, supported by steady capital inflows. Higher-quality, seasoned mezzanine debt tranches outperformed as loan prepayment and repricing activity remained elevated. CLO equity also benefited from the tightening in debt spreads, which allowed equity investors to refinance or reset liabilities at lower coupons, though this was partly offset in both the U.S. and Europe by continued loan repricings and isolated default concerns.</w:t>
      </w:r>
    </w:p>
    <w:p>
      <w:pPr>
        <w:spacing w:after="0" w:line="126" w:lineRule="exact"/>
        <w:rPr>
          <w:sz w:val="20"/>
          <w:szCs w:val="20"/>
          <w:color w:val="auto"/>
        </w:rPr>
      </w:pPr>
    </w:p>
    <w:p>
      <w:pPr>
        <w:ind w:right="240" w:firstLine="405"/>
        <w:spacing w:after="0" w:line="258" w:lineRule="auto"/>
        <w:rPr>
          <w:sz w:val="20"/>
          <w:szCs w:val="20"/>
          <w:color w:val="auto"/>
        </w:rPr>
      </w:pPr>
      <w:r>
        <w:rPr>
          <w:rFonts w:ascii="Times New Roman" w:cs="Times New Roman" w:eastAsia="Times New Roman" w:hAnsi="Times New Roman"/>
          <w:sz w:val="18"/>
          <w:szCs w:val="18"/>
          <w:color w:val="auto"/>
        </w:rPr>
        <w:t>Looking ahead, fundamentals appear supportive of continued strength in the CLO market. As of September 30, over 35% of loans still trade above par, suggesting some ongoing repricing risk, though at a diminishing pace given the prevalence of “soft-call protection” (i.e., prepayment penalties, typically for the first 6 to 12 months following origination. Less than 1% of loans mature before 2027, indicating limited near-term refinancing pressure, while the share of loans rated CCC+ or below has fallen to 5.2%, near recent lows. Meanwhile, the demand for loans remains strong due to continued demand from the primary CLO market, where issuance has been robust amid strong capital inflows into the asset class.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1093"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94"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For the six-month period ended September 30, 2025, we paid monthly distributions totaling $0.48 per common share. During and subsequent to the six-month period ended September 30, 2025, our Board declared the following distributions on our common shares: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2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2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120" w:type="dxa"/>
            <w:vAlign w:val="bottom"/>
          </w:tcPr>
          <w:p>
            <w:pPr>
              <w:spacing w:after="0"/>
              <w:rPr>
                <w:sz w:val="17"/>
                <w:szCs w:val="17"/>
                <w:color w:val="auto"/>
              </w:rPr>
            </w:pPr>
          </w:p>
        </w:tc>
        <w:tc>
          <w:tcPr>
            <w:tcW w:w="2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Distribution per common</w:t>
            </w:r>
          </w:p>
        </w:tc>
        <w:tc>
          <w:tcPr>
            <w:tcW w:w="0" w:type="dxa"/>
            <w:vAlign w:val="bottom"/>
          </w:tcPr>
          <w:p>
            <w:pPr>
              <w:spacing w:after="0"/>
              <w:rPr>
                <w:sz w:val="1"/>
                <w:szCs w:val="1"/>
                <w:color w:val="auto"/>
              </w:rPr>
            </w:pPr>
          </w:p>
        </w:tc>
      </w:tr>
      <w:tr>
        <w:trPr>
          <w:trHeight w:val="243"/>
        </w:trPr>
        <w:tc>
          <w:tcPr>
            <w:tcW w:w="3880" w:type="dxa"/>
            <w:vAlign w:val="bottom"/>
            <w:gridSpan w:val="2"/>
            <w:vMerge w:val="continue"/>
          </w:tcPr>
          <w:p>
            <w:pPr>
              <w:spacing w:after="0"/>
              <w:rPr>
                <w:sz w:val="21"/>
                <w:szCs w:val="21"/>
                <w:color w:val="auto"/>
              </w:rPr>
            </w:pPr>
          </w:p>
        </w:tc>
        <w:tc>
          <w:tcPr>
            <w:tcW w:w="2560" w:type="dxa"/>
            <w:vAlign w:val="bottom"/>
            <w:gridSpan w:val="2"/>
            <w:vMerge w:val="continue"/>
          </w:tcPr>
          <w:p>
            <w:pPr>
              <w:spacing w:after="0"/>
              <w:rPr>
                <w:sz w:val="21"/>
                <w:szCs w:val="21"/>
                <w:color w:val="auto"/>
              </w:rPr>
            </w:pPr>
          </w:p>
        </w:tc>
        <w:tc>
          <w:tcPr>
            <w:tcW w:w="25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212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0" w:type="dxa"/>
            <w:vAlign w:val="bottom"/>
          </w:tcPr>
          <w:p>
            <w:pPr>
              <w:spacing w:after="0"/>
              <w:rPr>
                <w:sz w:val="1"/>
                <w:szCs w:val="1"/>
                <w:color w:val="auto"/>
              </w:rPr>
            </w:pPr>
          </w:p>
        </w:tc>
      </w:tr>
      <w:tr>
        <w:trPr>
          <w:trHeight w:val="223"/>
        </w:trPr>
        <w:tc>
          <w:tcPr>
            <w:tcW w:w="3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3, 2025</w:t>
            </w:r>
          </w:p>
        </w:tc>
        <w:tc>
          <w:tcPr>
            <w:tcW w:w="10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30, 2025</w:t>
            </w:r>
          </w:p>
        </w:tc>
        <w:tc>
          <w:tcPr>
            <w:tcW w:w="10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27, 2025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29"/>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7, 2025</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May 30, 2025</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June 30, 2025</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30"/>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9, 2025</w:t>
            </w:r>
          </w:p>
        </w:tc>
        <w:tc>
          <w:tcPr>
            <w:tcW w:w="2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June 30, 2025</w:t>
            </w:r>
          </w:p>
        </w:tc>
        <w:tc>
          <w:tcPr>
            <w:tcW w:w="2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July 31, 2025</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29"/>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8, 2025</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July 31, 2025</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August 29, 2025</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2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7, 2025</w:t>
            </w:r>
          </w:p>
        </w:tc>
        <w:tc>
          <w:tcPr>
            <w:tcW w:w="2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August 29, 2025</w:t>
            </w:r>
          </w:p>
        </w:tc>
        <w:tc>
          <w:tcPr>
            <w:tcW w:w="2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September 30, 2025</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30"/>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8, 2025</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September 30, 2025</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October 31, 2025</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2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7, 2025</w:t>
            </w:r>
          </w:p>
        </w:tc>
        <w:tc>
          <w:tcPr>
            <w:tcW w:w="2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October 31, 2025</w:t>
            </w:r>
          </w:p>
        </w:tc>
        <w:tc>
          <w:tcPr>
            <w:tcW w:w="2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November 28, 2025</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34"/>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10, 2025</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November 28, 2025</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December 31, 2025</w:t>
            </w:r>
          </w:p>
        </w:tc>
        <w:tc>
          <w:tcPr>
            <w:tcW w:w="12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We have also adopted a dividend reinvestment plan (“DRIP”), which enables shareholders to compound returns by automatically reinvesting cash distributions in additional common shares of the Fund at a 5% discount to the then-current market price. We generally issue new shares under the plan, although the Board reserves the right to authorize open-market purchases of shares in connection with the plan. The plan is administered by Equiniti Trust Company, LLC, as plan agent.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CONCLUDING THOUGHTS</w:t>
      </w:r>
    </w:p>
    <w:p>
      <w:pPr>
        <w:spacing w:after="0" w:line="94"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The six-month period ended September 30, 2025, was a pivotal one for the Fund. Our successful transition to a closed-end fund, active redeployment of capital, strong performance, and continued support from the Ellington platform have positioned the Fund for long-term success. We enter this new phase with a focused investment strategy, a disciplined risk management process, and a portfolio designed to navigate both volatility and opportunity.</w:t>
      </w:r>
    </w:p>
    <w:p>
      <w:pPr>
        <w:spacing w:after="0" w:line="122"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Our investment portfolio remains well diversified across equity and mezzanine debt, in the U.S. and Europe. While tariffs, AI, recessionary fears, and volatile interest rates have introduced new sources of uncertainty, the diversification of our portfolio, combined with our credit hedging, helps us navigate these risks.</w:t>
      </w:r>
    </w:p>
    <w:p>
      <w:pPr>
        <w:spacing w:after="0" w:line="122"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Looking ahead, with default rates low, credit fundamentals relatively stable, and capital inflows into the sector strong, we remain constructive on the CLO market. At the same time, ongoing dispersion of credit performance continues to create opportunities for active managers, like us, to generate excess returns through selective trading and tactical capital rotation. I believe that our balanced approach—mezzanine debt for stability, equity for upside, and hedging for protection—positions us to continue delivering compelling income and total returns for our shareholders, while maintaining the agility to adapt as market conditions evolve.</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Thank you for your continued support and confidence.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Laurence E. Penn</w:t>
      </w:r>
    </w:p>
    <w:p>
      <w:pPr>
        <w:spacing w:after="0" w:line="90" w:lineRule="exact"/>
        <w:rPr>
          <w:sz w:val="20"/>
          <w:szCs w:val="20"/>
          <w:color w:val="auto"/>
        </w:rPr>
      </w:pPr>
    </w:p>
    <w:p>
      <w:pPr>
        <w:jc w:val="right"/>
        <w:ind w:right="8600"/>
        <w:spacing w:after="0"/>
        <w:rPr>
          <w:sz w:val="20"/>
          <w:szCs w:val="20"/>
          <w:color w:val="auto"/>
        </w:rPr>
      </w:pPr>
      <w:r>
        <w:rPr>
          <w:rFonts w:ascii="Times New Roman" w:cs="Times New Roman" w:eastAsia="Times New Roman" w:hAnsi="Times New Roman"/>
          <w:sz w:val="18"/>
          <w:szCs w:val="18"/>
          <w:color w:val="auto"/>
        </w:rPr>
        <w:t>Chief Executive Officer &amp; President</w:t>
      </w:r>
    </w:p>
    <w:p>
      <w:pPr>
        <w:spacing w:after="0" w:line="167" w:lineRule="exact"/>
        <w:rPr>
          <w:sz w:val="20"/>
          <w:szCs w:val="20"/>
          <w:color w:val="auto"/>
        </w:rPr>
      </w:pPr>
    </w:p>
    <w:p>
      <w:pPr>
        <w:jc w:val="right"/>
        <w:ind w:right="8560"/>
        <w:spacing w:after="0"/>
        <w:rPr>
          <w:sz w:val="20"/>
          <w:szCs w:val="20"/>
          <w:color w:val="auto"/>
        </w:rPr>
      </w:pPr>
      <w:r>
        <w:rPr>
          <w:rFonts w:ascii="Times New Roman" w:cs="Times New Roman" w:eastAsia="Times New Roman" w:hAnsi="Times New Roman"/>
          <w:sz w:val="18"/>
          <w:szCs w:val="18"/>
          <w:b w:val="1"/>
          <w:bCs w:val="1"/>
          <w:i w:val="1"/>
          <w:iCs w:val="1"/>
          <w:color w:val="auto"/>
        </w:rPr>
        <w:t>About Ellington Credit Company</w:t>
      </w:r>
    </w:p>
    <w:p>
      <w:pPr>
        <w:spacing w:after="0" w:line="94"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Fund is a non-diversified closed-end fund that seeks to provide attractive current yields and risk-adjusted total returns by investing primarily in corporate CLOs, with a focus on mezzanine debt and equity tranches. The Fund is externally managed and advised by an affiliate of Ellington Management Group, L.L.C., a leading fixed-income investment manager founded in 1994. The Fund benefits from Ellington’s extensive experience and deep expertise in portfolio management, credit analysis, and risk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089" w:right="339" w:bottom="1440" w:gutter="0" w:footer="0" w:header="0"/>
        </w:sectPr>
      </w:pPr>
    </w:p>
    <w:bookmarkStart w:id="6" w:name="page7"/>
    <w:bookmarkEnd w:id="6"/>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Special Note Regarding Forward-Looking Statements</w:t>
      </w:r>
    </w:p>
    <w:p>
      <w:pPr>
        <w:spacing w:after="0" w:line="94"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When used in this Certified Shareholder Report of Registered Management Investment Companies on Form N-CSR, in future filings with the Securities and Exchange Commission, or the "SEC," or in press releases or other written or oral communications, statements which are not historical in nature, including those containing words such as "believe," "expect," "anticipate," "estimate," "project," "plan," "continue," "intend," "should," "would," "could," "goal," "objective," "will," "may," "seek," or similar expressions or their negative forms or references to strategy, plans or intentions, are intended to identify "forward-looking statements" within the meaning of the Private Securities Litigation Reform Act of 1995, and, as such, may involve known and unknown risks, uncertainties and assumptions.</w:t>
      </w:r>
    </w:p>
    <w:p>
      <w:pPr>
        <w:spacing w:after="0" w:line="133"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Forward-looking statements are based on our beliefs, assumptions and expectations of our future operations, business strategies, performance, financial condition, liquidity and prospects, taking into account information currently available to us. These beliefs, assumptions, and expectations are subject to numerous risks and uncertainties and can change as a result of many possible events or factors, not all of which are known to us. If a change occurs, our business, financial condition, liquidity, results of operations and strategies may vary materially from those expressed or implied in our forward-looking statements. The following factors are examples of those that could cause actual results to vary from those stated or implied by our forward-looking statements: changes in interest rates and the market value of our investments, market volatility, changes in the default rates on corporate loans, our ability to borrow to finance our assets, changes in government regulations affecting our business, a deterioration in the market for collateralized loan obligations, our ability to adapt to the new regulatory regime associated with our conversion to a closed-end fund/RIC, potential business disruption related to our conversion to a closed-end fund/RIC, ability to achieve the anticipated benefits of our conversion to a closed-end fund/RIC, and other changes in market conditions and economic trends, such as changes to fiscal or monetary policy, heightened inflation, increased tariffs, slower growth or recession, and currency fluctuations. Furthermore, as stated above, forward-looking statements are subject to numerous risks and uncertainties, including, among other things, those described under the heading “Risk Factors” in our Registration Statement on Form N-2, which can be accessed through the link to our SEC filings under "For Investors" on our website (at www.ellingtoncredit.com) or at the SEC's website (www.sec.gov). Other risks, uncertainties, and factors that could cause actual results to differ materially from those projected or implied may be described from time to time in reports we file with the SEC, and it is not possible for us to predict or identify them all. We undertake no obligation to update or revise any forward-looking statements, whether as a result of new information, future events, or otherwise.</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08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Summary of Certain Portfolio Characteristics (Unaudited)</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below chart summarizes the Fund’s investment portfolio as of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68580</wp:posOffset>
            </wp:positionV>
            <wp:extent cx="4603115" cy="26314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03115"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The following provides details on the underlying CLO portfolio as of September 30, 2025. The information is presented on a look-through basis to the CLO tranches (both equity and mezzanine) held by the Fund as of September 30, 2025 and reflects the aggregate underlying exposure of the Fund based on the portfolios of those investments.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SUMMARY OF UNDERLYING PORTFOLIO</w:t>
      </w:r>
      <w:r>
        <w:rPr>
          <w:rFonts w:ascii="Times New Roman" w:cs="Times New Roman" w:eastAsia="Times New Roman" w:hAnsi="Times New Roman"/>
          <w:sz w:val="23"/>
          <w:szCs w:val="23"/>
          <w:b w:val="1"/>
          <w:bCs w:val="1"/>
          <w:color w:val="auto"/>
          <w:vertAlign w:val="superscript"/>
        </w:rPr>
        <w:t>(1)(2)</w:t>
      </w:r>
    </w:p>
    <w:tbl>
      <w:tblPr>
        <w:tblLayout w:type="fixed"/>
        <w:tblInd w:w="0" w:type="dxa"/>
        <w:tblCellMar>
          <w:top w:w="0" w:type="dxa"/>
          <w:left w:w="0" w:type="dxa"/>
          <w:bottom w:w="0" w:type="dxa"/>
          <w:right w:w="0" w:type="dxa"/>
        </w:tblCellMar>
      </w:tblPr>
      <w:tr>
        <w:trPr>
          <w:trHeight w:val="223"/>
        </w:trPr>
        <w:tc>
          <w:tcPr>
            <w:tcW w:w="6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Unique Underlying Loan Issuers</w:t>
            </w:r>
          </w:p>
        </w:tc>
        <w:tc>
          <w:tcPr>
            <w:tcW w:w="4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Floating Rate Loan Spread</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29"/>
        </w:trPr>
        <w:tc>
          <w:tcPr>
            <w:tcW w:w="6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Junior Over-collateralization Cushion</w:t>
            </w:r>
            <w:r>
              <w:rPr>
                <w:rFonts w:ascii="Times New Roman" w:cs="Times New Roman" w:eastAsia="Times New Roman" w:hAnsi="Times New Roman"/>
                <w:sz w:val="23"/>
                <w:szCs w:val="23"/>
                <w:color w:val="auto"/>
                <w:vertAlign w:val="superscript"/>
              </w:rPr>
              <w:t>(3)</w:t>
            </w:r>
          </w:p>
        </w:tc>
        <w:tc>
          <w:tcPr>
            <w:tcW w:w="4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30"/>
        </w:trPr>
        <w:tc>
          <w:tcPr>
            <w:tcW w:w="68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Percentage of Loans that are Senior Secured</w:t>
            </w:r>
            <w:r>
              <w:rPr>
                <w:rFonts w:ascii="Times New Roman" w:cs="Times New Roman" w:eastAsia="Times New Roman" w:hAnsi="Times New Roman"/>
                <w:sz w:val="23"/>
                <w:szCs w:val="23"/>
                <w:color w:val="auto"/>
                <w:vertAlign w:val="superscript"/>
              </w:rPr>
              <w:t>(4)</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30"/>
        </w:trPr>
        <w:tc>
          <w:tcPr>
            <w:tcW w:w="6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Loan Credit Rating</w:t>
            </w:r>
            <w:r>
              <w:rPr>
                <w:rFonts w:ascii="Times New Roman" w:cs="Times New Roman" w:eastAsia="Times New Roman" w:hAnsi="Times New Roman"/>
                <w:sz w:val="23"/>
                <w:szCs w:val="23"/>
                <w:color w:val="auto"/>
                <w:vertAlign w:val="superscript"/>
              </w:rPr>
              <w:t>(5)</w:t>
            </w:r>
          </w:p>
        </w:tc>
        <w:tc>
          <w:tcPr>
            <w:tcW w:w="4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B+/B</w:t>
            </w: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Maturity</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years</w:t>
            </w: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Facility Size</w:t>
            </w:r>
          </w:p>
        </w:tc>
        <w:tc>
          <w:tcPr>
            <w:tcW w:w="4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billion</w:t>
            </w:r>
          </w:p>
        </w:tc>
      </w:tr>
      <w:tr>
        <w:trPr>
          <w:trHeight w:val="234"/>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USD/EUR Exposure</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86%/14%</w:t>
            </w:r>
          </w:p>
        </w:tc>
      </w:tr>
    </w:tbl>
    <w:p>
      <w:pPr>
        <w:spacing w:after="0" w:line="53"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corporate bonds.</w:t>
      </w:r>
    </w:p>
    <w:p>
      <w:pPr>
        <w:spacing w:after="0" w:line="27" w:lineRule="exact"/>
        <w:rPr>
          <w:rFonts w:ascii="Times New Roman" w:cs="Times New Roman" w:eastAsia="Times New Roman" w:hAnsi="Times New Roman"/>
          <w:sz w:val="14"/>
          <w:szCs w:val="14"/>
          <w:color w:val="auto"/>
        </w:rPr>
      </w:pPr>
    </w:p>
    <w:p>
      <w:pPr>
        <w:ind w:left="340" w:right="260" w:hanging="332"/>
        <w:spacing w:after="0" w:line="261" w:lineRule="auto"/>
        <w:tabs>
          <w:tab w:leader="none" w:pos="33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data is estimated and is derived from sources including CLO trustee reports, custody statements, and other information received from CLO collateral managers and other third party sources. Weighted averages shown unless otherwise indicated.</w:t>
      </w: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 average junior over-collateralization cushion is calculated solely with respect to positions in CLO equity tranches.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percentage of the total collateral underlying the Fund’s CLO investments (including corporate loans and bonds) that are characterized as senior secured loans.</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loan credit ratings assigned by Standard &amp; Poor’s (“S&amp;P”) or, for loans without an S&amp;P rating, the S&amp;P-equivalent rating of another rating agency that does/did rate the loan.</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08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color w:val="auto"/>
        </w:rPr>
        <w:t>The following charts provide additional information on the assets underlying the Fund’s CLO portfolio as of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76200</wp:posOffset>
            </wp:positionV>
            <wp:extent cx="5837555" cy="63607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37555" cy="6360795"/>
                    </a:xfrm>
                    <a:prstGeom prst="rect">
                      <a:avLst/>
                    </a:prstGeom>
                    <a:noFill/>
                  </pic:spPr>
                </pic:pic>
              </a:graphicData>
            </a:graphic>
          </wp:anchor>
        </w:drawing>
      </w:r>
    </w:p>
    <w:p>
      <w:pPr>
        <w:sectPr>
          <w:pgSz w:w="11900" w:h="16838" w:orient="portrait"/>
          <w:cols w:equalWidth="0" w:num="1">
            <w:col w:w="9719"/>
          </w:cols>
          <w:pgMar w:left="740" w:top="10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719"/>
          </w:cols>
          <w:pgMar w:left="740" w:top="1093" w:right="1440"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10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 for the Six-Month Period Ended September 30, 2025</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7"/>
        </w:trPr>
        <w:tc>
          <w:tcPr>
            <w:tcW w:w="10560" w:type="dxa"/>
            <w:vAlign w:val="bottom"/>
          </w:tcPr>
          <w:p>
            <w:pPr>
              <w:spacing w:after="0"/>
              <w:rPr>
                <w:sz w:val="22"/>
                <w:szCs w:val="22"/>
                <w:color w:val="auto"/>
              </w:rPr>
            </w:pPr>
          </w:p>
        </w:tc>
        <w:tc>
          <w:tcPr>
            <w:tcW w:w="6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3"/>
        </w:trPr>
        <w:tc>
          <w:tcPr>
            <w:tcW w:w="105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Consolidated Statement of Assets and Liabilities</w:t>
            </w:r>
          </w:p>
        </w:tc>
        <w:tc>
          <w:tcPr>
            <w:tcW w:w="480" w:type="dxa"/>
            <w:vAlign w:val="bottom"/>
          </w:tcPr>
          <w:p>
            <w:pPr>
              <w:spacing w:after="0"/>
              <w:rPr>
                <w:sz w:val="15"/>
                <w:szCs w:val="15"/>
                <w:color w:val="auto"/>
              </w:rPr>
            </w:pPr>
          </w:p>
        </w:tc>
        <w:tc>
          <w:tcPr>
            <w:tcW w:w="20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w w:val="88"/>
              </w:rPr>
              <w:t>11</w:t>
            </w:r>
          </w:p>
        </w:tc>
      </w:tr>
      <w:tr>
        <w:trPr>
          <w:trHeight w:val="209"/>
        </w:trPr>
        <w:tc>
          <w:tcPr>
            <w:tcW w:w="10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Schedule of Investments</w:t>
            </w:r>
          </w:p>
        </w:tc>
        <w:tc>
          <w:tcPr>
            <w:tcW w:w="48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c>
          <w:tcPr>
            <w:tcW w:w="20" w:type="dxa"/>
            <w:vAlign w:val="bottom"/>
          </w:tcPr>
          <w:p>
            <w:pPr>
              <w:spacing w:after="0"/>
              <w:rPr>
                <w:sz w:val="18"/>
                <w:szCs w:val="18"/>
                <w:color w:val="auto"/>
              </w:rPr>
            </w:pPr>
          </w:p>
        </w:tc>
      </w:tr>
      <w:tr>
        <w:trPr>
          <w:trHeight w:val="210"/>
        </w:trPr>
        <w:tc>
          <w:tcPr>
            <w:tcW w:w="10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 of Operations</w:t>
            </w:r>
          </w:p>
        </w:tc>
        <w:tc>
          <w:tcPr>
            <w:tcW w:w="4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23</w:t>
            </w:r>
          </w:p>
        </w:tc>
        <w:tc>
          <w:tcPr>
            <w:tcW w:w="20" w:type="dxa"/>
            <w:vAlign w:val="bottom"/>
          </w:tcPr>
          <w:p>
            <w:pPr>
              <w:spacing w:after="0"/>
              <w:rPr>
                <w:sz w:val="18"/>
                <w:szCs w:val="18"/>
                <w:color w:val="auto"/>
              </w:rPr>
            </w:pPr>
          </w:p>
        </w:tc>
      </w:tr>
      <w:tr>
        <w:trPr>
          <w:trHeight w:val="209"/>
        </w:trPr>
        <w:tc>
          <w:tcPr>
            <w:tcW w:w="10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 of Changes in Net Assets</w:t>
            </w:r>
          </w:p>
        </w:tc>
        <w:tc>
          <w:tcPr>
            <w:tcW w:w="4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24</w:t>
            </w:r>
          </w:p>
        </w:tc>
        <w:tc>
          <w:tcPr>
            <w:tcW w:w="20" w:type="dxa"/>
            <w:vAlign w:val="bottom"/>
          </w:tcPr>
          <w:p>
            <w:pPr>
              <w:spacing w:after="0"/>
              <w:rPr>
                <w:sz w:val="18"/>
                <w:szCs w:val="18"/>
                <w:color w:val="auto"/>
              </w:rPr>
            </w:pPr>
          </w:p>
        </w:tc>
      </w:tr>
      <w:tr>
        <w:trPr>
          <w:trHeight w:val="209"/>
        </w:trPr>
        <w:tc>
          <w:tcPr>
            <w:tcW w:w="10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 of Cash Flows</w:t>
            </w:r>
          </w:p>
        </w:tc>
        <w:tc>
          <w:tcPr>
            <w:tcW w:w="4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c>
          <w:tcPr>
            <w:tcW w:w="20" w:type="dxa"/>
            <w:vAlign w:val="bottom"/>
          </w:tcPr>
          <w:p>
            <w:pPr>
              <w:spacing w:after="0"/>
              <w:rPr>
                <w:sz w:val="18"/>
                <w:szCs w:val="18"/>
                <w:color w:val="auto"/>
              </w:rPr>
            </w:pPr>
          </w:p>
        </w:tc>
      </w:tr>
      <w:tr>
        <w:trPr>
          <w:trHeight w:val="210"/>
        </w:trPr>
        <w:tc>
          <w:tcPr>
            <w:tcW w:w="10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r>
      <w:tr>
        <w:trPr>
          <w:trHeight w:val="925"/>
        </w:trPr>
        <w:tc>
          <w:tcPr>
            <w:tcW w:w="105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10</w:t>
            </w:r>
          </w:p>
        </w:tc>
        <w:tc>
          <w:tcPr>
            <w:tcW w:w="4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1089"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ASSETS AND LIABILITIES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0" w:type="dxa"/>
            <w:vAlign w:val="bottom"/>
          </w:tcPr>
          <w:p>
            <w:pPr>
              <w:spacing w:after="0"/>
              <w:rPr>
                <w:sz w:val="1"/>
                <w:szCs w:val="1"/>
                <w:color w:val="auto"/>
              </w:rPr>
            </w:pPr>
          </w:p>
        </w:tc>
      </w:tr>
      <w:tr>
        <w:trPr>
          <w:trHeight w:val="20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i w:val="1"/>
                <w:iCs w:val="1"/>
                <w:color w:val="auto"/>
              </w:rPr>
              <w:t>(Expressed in U.S. Dollars)</w:t>
            </w:r>
          </w:p>
        </w:tc>
        <w:tc>
          <w:tcPr>
            <w:tcW w:w="0" w:type="dxa"/>
            <w:vAlign w:val="bottom"/>
          </w:tcPr>
          <w:p>
            <w:pPr>
              <w:spacing w:after="0"/>
              <w:rPr>
                <w:sz w:val="1"/>
                <w:szCs w:val="1"/>
                <w:color w:val="auto"/>
              </w:rPr>
            </w:pPr>
          </w:p>
        </w:tc>
      </w:tr>
      <w:tr>
        <w:trPr>
          <w:trHeight w:val="230"/>
        </w:trPr>
        <w:tc>
          <w:tcPr>
            <w:tcW w:w="9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Investments, at fair value (cost $378,228)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380,272</w:t>
            </w:r>
          </w:p>
        </w:tc>
        <w:tc>
          <w:tcPr>
            <w:tcW w:w="0" w:type="dxa"/>
            <w:vAlign w:val="bottom"/>
          </w:tcPr>
          <w:p>
            <w:pPr>
              <w:spacing w:after="0"/>
              <w:rPr>
                <w:sz w:val="1"/>
                <w:szCs w:val="1"/>
                <w:color w:val="auto"/>
              </w:rPr>
            </w:pPr>
          </w:p>
        </w:tc>
      </w:tr>
      <w:tr>
        <w:trPr>
          <w:trHeight w:val="229"/>
        </w:trPr>
        <w:tc>
          <w:tcPr>
            <w:tcW w:w="9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20,085</w:t>
            </w:r>
          </w:p>
        </w:tc>
        <w:tc>
          <w:tcPr>
            <w:tcW w:w="0" w:type="dxa"/>
            <w:vAlign w:val="bottom"/>
          </w:tcPr>
          <w:p>
            <w:pPr>
              <w:spacing w:after="0"/>
              <w:rPr>
                <w:sz w:val="1"/>
                <w:szCs w:val="1"/>
                <w:color w:val="auto"/>
              </w:rPr>
            </w:pPr>
          </w:p>
        </w:tc>
      </w:tr>
      <w:tr>
        <w:trPr>
          <w:trHeight w:val="229"/>
        </w:trPr>
        <w:tc>
          <w:tcPr>
            <w:tcW w:w="9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Due from brokers</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w:t>
            </w:r>
          </w:p>
        </w:tc>
        <w:tc>
          <w:tcPr>
            <w:tcW w:w="0" w:type="dxa"/>
            <w:vAlign w:val="bottom"/>
          </w:tcPr>
          <w:p>
            <w:pPr>
              <w:spacing w:after="0"/>
              <w:rPr>
                <w:sz w:val="1"/>
                <w:szCs w:val="1"/>
                <w:color w:val="auto"/>
              </w:rPr>
            </w:pPr>
          </w:p>
        </w:tc>
      </w:tr>
      <w:tr>
        <w:trPr>
          <w:trHeight w:val="230"/>
        </w:trPr>
        <w:tc>
          <w:tcPr>
            <w:tcW w:w="9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Financial derivatives–assets, at fair value (Net upfront premiums paid (received) $2,009)</w:t>
            </w: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29"/>
        </w:trPr>
        <w:tc>
          <w:tcPr>
            <w:tcW w:w="9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Receivable for securities sold</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0" w:type="dxa"/>
            <w:vAlign w:val="bottom"/>
          </w:tcPr>
          <w:p>
            <w:pPr>
              <w:spacing w:after="0"/>
              <w:rPr>
                <w:sz w:val="1"/>
                <w:szCs w:val="1"/>
                <w:color w:val="auto"/>
              </w:rPr>
            </w:pPr>
          </w:p>
        </w:tc>
      </w:tr>
      <w:tr>
        <w:trPr>
          <w:trHeight w:val="229"/>
        </w:trPr>
        <w:tc>
          <w:tcPr>
            <w:tcW w:w="9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and principal receivable</w:t>
            </w: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w:t>
            </w:r>
          </w:p>
        </w:tc>
        <w:tc>
          <w:tcPr>
            <w:tcW w:w="0" w:type="dxa"/>
            <w:vAlign w:val="bottom"/>
          </w:tcPr>
          <w:p>
            <w:pPr>
              <w:spacing w:after="0"/>
              <w:rPr>
                <w:sz w:val="1"/>
                <w:szCs w:val="1"/>
                <w:color w:val="auto"/>
              </w:rPr>
            </w:pPr>
          </w:p>
        </w:tc>
      </w:tr>
      <w:tr>
        <w:trPr>
          <w:trHeight w:val="230"/>
        </w:trPr>
        <w:tc>
          <w:tcPr>
            <w:tcW w:w="9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23"/>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415,740</w:t>
            </w:r>
          </w:p>
        </w:tc>
        <w:tc>
          <w:tcPr>
            <w:tcW w:w="0" w:type="dxa"/>
            <w:vAlign w:val="bottom"/>
          </w:tcPr>
          <w:p>
            <w:pPr>
              <w:spacing w:after="0"/>
              <w:rPr>
                <w:sz w:val="1"/>
                <w:szCs w:val="1"/>
                <w:color w:val="auto"/>
              </w:rPr>
            </w:pPr>
          </w:p>
        </w:tc>
      </w:tr>
      <w:tr>
        <w:trPr>
          <w:trHeight w:val="21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Reverse repurchase agreements (Note 5)</w:t>
            </w: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175,333</w:t>
            </w:r>
          </w:p>
        </w:tc>
        <w:tc>
          <w:tcPr>
            <w:tcW w:w="0" w:type="dxa"/>
            <w:vAlign w:val="bottom"/>
          </w:tcPr>
          <w:p>
            <w:pPr>
              <w:spacing w:after="0"/>
              <w:rPr>
                <w:sz w:val="1"/>
                <w:szCs w:val="1"/>
                <w:color w:val="auto"/>
              </w:rPr>
            </w:pPr>
          </w:p>
        </w:tc>
      </w:tr>
      <w:tr>
        <w:trPr>
          <w:trHeight w:val="230"/>
        </w:trPr>
        <w:tc>
          <w:tcPr>
            <w:tcW w:w="9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Payable for securities purchased</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0" w:type="dxa"/>
            <w:vAlign w:val="bottom"/>
          </w:tcPr>
          <w:p>
            <w:pPr>
              <w:spacing w:after="0"/>
              <w:rPr>
                <w:sz w:val="1"/>
                <w:szCs w:val="1"/>
                <w:color w:val="auto"/>
              </w:rPr>
            </w:pPr>
          </w:p>
        </w:tc>
      </w:tr>
      <w:tr>
        <w:trPr>
          <w:trHeight w:val="229"/>
        </w:trPr>
        <w:tc>
          <w:tcPr>
            <w:tcW w:w="9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to brokers</w:t>
            </w: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29"/>
        </w:trPr>
        <w:tc>
          <w:tcPr>
            <w:tcW w:w="9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Financial derivatives–liabilities, at fair value (Net upfront premiums paid (received) $(4,626))</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0" w:type="dxa"/>
            <w:vAlign w:val="bottom"/>
          </w:tcPr>
          <w:p>
            <w:pPr>
              <w:spacing w:after="0"/>
              <w:rPr>
                <w:sz w:val="1"/>
                <w:szCs w:val="1"/>
                <w:color w:val="auto"/>
              </w:rPr>
            </w:pPr>
          </w:p>
        </w:tc>
      </w:tr>
      <w:tr>
        <w:trPr>
          <w:trHeight w:val="230"/>
        </w:trPr>
        <w:tc>
          <w:tcPr>
            <w:tcW w:w="9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payable</w:t>
            </w: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0" w:type="dxa"/>
            <w:vAlign w:val="bottom"/>
          </w:tcPr>
          <w:p>
            <w:pPr>
              <w:spacing w:after="0"/>
              <w:rPr>
                <w:sz w:val="1"/>
                <w:szCs w:val="1"/>
                <w:color w:val="auto"/>
              </w:rPr>
            </w:pPr>
          </w:p>
        </w:tc>
      </w:tr>
      <w:tr>
        <w:trPr>
          <w:trHeight w:val="229"/>
        </w:trPr>
        <w:tc>
          <w:tcPr>
            <w:tcW w:w="9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0" w:type="dxa"/>
            <w:vAlign w:val="bottom"/>
          </w:tcPr>
          <w:p>
            <w:pPr>
              <w:spacing w:after="0"/>
              <w:rPr>
                <w:sz w:val="1"/>
                <w:szCs w:val="1"/>
                <w:color w:val="auto"/>
              </w:rPr>
            </w:pPr>
          </w:p>
        </w:tc>
      </w:tr>
      <w:tr>
        <w:trPr>
          <w:trHeight w:val="229"/>
        </w:trPr>
        <w:tc>
          <w:tcPr>
            <w:tcW w:w="9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Management fee payable to affiliate</w:t>
            </w: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30"/>
        </w:trPr>
        <w:tc>
          <w:tcPr>
            <w:tcW w:w="9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Performance fee payable to affiliate</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0" w:type="dxa"/>
            <w:vAlign w:val="bottom"/>
          </w:tcPr>
          <w:p>
            <w:pPr>
              <w:spacing w:after="0"/>
              <w:rPr>
                <w:sz w:val="1"/>
                <w:szCs w:val="1"/>
                <w:color w:val="auto"/>
              </w:rPr>
            </w:pPr>
          </w:p>
        </w:tc>
      </w:tr>
      <w:tr>
        <w:trPr>
          <w:trHeight w:val="229"/>
        </w:trPr>
        <w:tc>
          <w:tcPr>
            <w:tcW w:w="9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payable</w:t>
            </w:r>
          </w:p>
        </w:tc>
        <w:tc>
          <w:tcPr>
            <w:tcW w:w="2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23"/>
        </w:trPr>
        <w:tc>
          <w:tcPr>
            <w:tcW w:w="9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190,653</w:t>
            </w:r>
          </w:p>
        </w:tc>
        <w:tc>
          <w:tcPr>
            <w:tcW w:w="0" w:type="dxa"/>
            <w:vAlign w:val="bottom"/>
          </w:tcPr>
          <w:p>
            <w:pPr>
              <w:spacing w:after="0"/>
              <w:rPr>
                <w:sz w:val="1"/>
                <w:szCs w:val="1"/>
                <w:color w:val="auto"/>
              </w:rPr>
            </w:pPr>
          </w:p>
        </w:tc>
      </w:tr>
      <w:tr>
        <w:trPr>
          <w:trHeight w:val="20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NET ASSETS applicable to common shares of beneficial interest, no par value, unlimited shares authorized,</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225,087</w:t>
            </w:r>
          </w:p>
        </w:tc>
        <w:tc>
          <w:tcPr>
            <w:tcW w:w="0" w:type="dxa"/>
            <w:vAlign w:val="bottom"/>
          </w:tcPr>
          <w:p>
            <w:pPr>
              <w:spacing w:after="0"/>
              <w:rPr>
                <w:sz w:val="1"/>
                <w:szCs w:val="1"/>
                <w:color w:val="auto"/>
              </w:rPr>
            </w:pPr>
          </w:p>
        </w:tc>
      </w:tr>
      <w:tr>
        <w:trPr>
          <w:trHeight w:val="221"/>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37,567,849 shares issued and outstanding</w:t>
            </w:r>
          </w:p>
        </w:tc>
        <w:tc>
          <w:tcPr>
            <w:tcW w:w="220" w:type="dxa"/>
            <w:vAlign w:val="bottom"/>
            <w:tcBorders>
              <w:bottom w:val="single" w:sz="8" w:color="auto"/>
            </w:tcBorders>
            <w:vMerge w:val="continue"/>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COMPOSITION OF NET ASSETS</w:t>
            </w:r>
          </w:p>
        </w:tc>
        <w:tc>
          <w:tcPr>
            <w:tcW w:w="2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Paid-in-capital</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400,376</w:t>
            </w:r>
          </w:p>
        </w:tc>
        <w:tc>
          <w:tcPr>
            <w:tcW w:w="0" w:type="dxa"/>
            <w:vAlign w:val="bottom"/>
          </w:tcPr>
          <w:p>
            <w:pPr>
              <w:spacing w:after="0"/>
              <w:rPr>
                <w:sz w:val="1"/>
                <w:szCs w:val="1"/>
                <w:color w:val="auto"/>
              </w:rPr>
            </w:pPr>
          </w:p>
        </w:tc>
      </w:tr>
      <w:tr>
        <w:trPr>
          <w:trHeight w:val="230"/>
        </w:trPr>
        <w:tc>
          <w:tcPr>
            <w:tcW w:w="9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distributable earnings/(accumulated losses)</w:t>
            </w:r>
          </w:p>
        </w:tc>
        <w:tc>
          <w:tcPr>
            <w:tcW w:w="2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(175,289)</w:t>
            </w:r>
          </w:p>
        </w:tc>
        <w:tc>
          <w:tcPr>
            <w:tcW w:w="0" w:type="dxa"/>
            <w:vAlign w:val="bottom"/>
          </w:tcPr>
          <w:p>
            <w:pPr>
              <w:spacing w:after="0"/>
              <w:rPr>
                <w:sz w:val="1"/>
                <w:szCs w:val="1"/>
                <w:color w:val="auto"/>
              </w:rPr>
            </w:pPr>
          </w:p>
        </w:tc>
      </w:tr>
      <w:tr>
        <w:trPr>
          <w:trHeight w:val="223"/>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225,087</w:t>
            </w:r>
          </w:p>
        </w:tc>
        <w:tc>
          <w:tcPr>
            <w:tcW w:w="0" w:type="dxa"/>
            <w:vAlign w:val="bottom"/>
          </w:tcPr>
          <w:p>
            <w:pPr>
              <w:spacing w:after="0"/>
              <w:rPr>
                <w:sz w:val="1"/>
                <w:szCs w:val="1"/>
                <w:color w:val="auto"/>
              </w:rPr>
            </w:pPr>
          </w:p>
        </w:tc>
      </w:tr>
      <w:tr>
        <w:trPr>
          <w:trHeight w:val="20"/>
        </w:trPr>
        <w:tc>
          <w:tcPr>
            <w:tcW w:w="9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 value per common share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968"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SCHEDULE OF INVESTMENTS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48895</wp:posOffset>
            </wp:positionV>
            <wp:extent cx="70123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ectPr>
          <w:pgSz w:w="11900" w:h="16838" w:orient="portrait"/>
          <w:cols w:equalWidth="0" w:num="1">
            <w:col w:w="11040"/>
          </w:cols>
          <w:pgMar w:left="420" w:top="968" w:right="439" w:bottom="1440" w:gutter="0" w:footer="0" w:header="0"/>
        </w:sect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Issuer</w:t>
            </w:r>
            <w:r>
              <w:rPr>
                <w:rFonts w:ascii="Times New Roman" w:cs="Times New Roman" w:eastAsia="Times New Roman" w:hAnsi="Times New Roman"/>
                <w:sz w:val="19"/>
                <w:szCs w:val="19"/>
                <w:b w:val="1"/>
                <w:bCs w:val="1"/>
                <w:color w:val="auto"/>
                <w:vertAlign w:val="superscript"/>
              </w:rPr>
              <w:t>(1)</w:t>
            </w:r>
          </w:p>
        </w:tc>
        <w:tc>
          <w:tcPr>
            <w:tcW w:w="3240" w:type="dxa"/>
            <w:vAlign w:val="bottom"/>
          </w:tcPr>
          <w:p>
            <w:pPr>
              <w:ind w:left="860"/>
              <w:spacing w:after="0"/>
              <w:rPr>
                <w:sz w:val="20"/>
                <w:szCs w:val="20"/>
                <w:color w:val="auto"/>
              </w:rPr>
            </w:pPr>
            <w:r>
              <w:rPr>
                <w:rFonts w:ascii="Times New Roman" w:cs="Times New Roman" w:eastAsia="Times New Roman" w:hAnsi="Times New Roman"/>
                <w:sz w:val="15"/>
                <w:szCs w:val="15"/>
                <w:b w:val="1"/>
                <w:bCs w:val="1"/>
                <w:color w:val="auto"/>
              </w:rPr>
              <w:t>Investment Description</w:t>
            </w:r>
          </w:p>
        </w:tc>
      </w:tr>
      <w:tr>
        <w:trPr>
          <w:trHeight w:val="188"/>
        </w:trPr>
        <w:tc>
          <w:tcPr>
            <w:tcW w:w="2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 in thousands)</w:t>
            </w:r>
          </w:p>
        </w:tc>
        <w:tc>
          <w:tcPr>
            <w:tcW w:w="80" w:type="dxa"/>
            <w:vAlign w:val="bottom"/>
          </w:tcPr>
          <w:p>
            <w:pPr>
              <w:spacing w:after="0"/>
              <w:rPr>
                <w:sz w:val="16"/>
                <w:szCs w:val="16"/>
                <w:color w:val="auto"/>
              </w:rPr>
            </w:pPr>
          </w:p>
        </w:tc>
        <w:tc>
          <w:tcPr>
            <w:tcW w:w="3240" w:type="dxa"/>
            <w:vAlign w:val="bottom"/>
            <w:tcBorders>
              <w:top w:val="single" w:sz="8" w:color="auto"/>
            </w:tcBorders>
          </w:tcPr>
          <w:p>
            <w:pPr>
              <w:spacing w:after="0"/>
              <w:rPr>
                <w:sz w:val="16"/>
                <w:szCs w:val="16"/>
                <w:color w:val="auto"/>
              </w:rPr>
            </w:pPr>
          </w:p>
        </w:tc>
      </w:tr>
      <w:tr>
        <w:trPr>
          <w:trHeight w:val="202"/>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Collateralized Loan Obligations—Debt</w:t>
            </w:r>
          </w:p>
        </w:tc>
        <w:tc>
          <w:tcPr>
            <w:tcW w:w="3240" w:type="dxa"/>
            <w:vAlign w:val="bottom"/>
          </w:tcPr>
          <w:p>
            <w:pPr>
              <w:spacing w:after="0"/>
              <w:rPr>
                <w:sz w:val="17"/>
                <w:szCs w:val="17"/>
                <w:color w:val="auto"/>
              </w:rPr>
            </w:pPr>
          </w:p>
        </w:tc>
      </w:tr>
      <w:tr>
        <w:trPr>
          <w:trHeight w:val="203"/>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United States</w:t>
            </w:r>
          </w:p>
        </w:tc>
        <w:tc>
          <w:tcPr>
            <w:tcW w:w="3240" w:type="dxa"/>
            <w:vAlign w:val="bottom"/>
          </w:tcPr>
          <w:p>
            <w:pPr>
              <w:spacing w:after="0"/>
              <w:rPr>
                <w:sz w:val="17"/>
                <w:szCs w:val="17"/>
                <w:color w:val="auto"/>
              </w:rPr>
            </w:pPr>
          </w:p>
        </w:tc>
      </w:tr>
      <w:tr>
        <w:trPr>
          <w:trHeight w:val="203"/>
        </w:trPr>
        <w:tc>
          <w:tcPr>
            <w:tcW w:w="270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Structured Finance</w:t>
            </w:r>
          </w:p>
        </w:tc>
        <w:tc>
          <w:tcPr>
            <w:tcW w:w="3240" w:type="dxa"/>
            <w:vAlign w:val="bottom"/>
          </w:tcPr>
          <w:p>
            <w:pPr>
              <w:spacing w:after="0"/>
              <w:rPr>
                <w:sz w:val="17"/>
                <w:szCs w:val="17"/>
                <w:color w:val="auto"/>
              </w:rPr>
            </w:pPr>
          </w:p>
        </w:tc>
      </w:tr>
      <w:tr>
        <w:trPr>
          <w:trHeight w:val="156"/>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E, 11.78% (SOFR + 7.46%</w:t>
            </w:r>
          </w:p>
        </w:tc>
      </w:tr>
      <w:tr>
        <w:trPr>
          <w:trHeight w:val="208"/>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37 Capital CLO Ltd (5)(7)</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October 15, 2034)</w:t>
            </w:r>
          </w:p>
        </w:tc>
      </w:tr>
      <w:tr>
        <w:trPr>
          <w:trHeight w:val="157"/>
        </w:trPr>
        <w:tc>
          <w:tcPr>
            <w:tcW w:w="2700" w:type="dxa"/>
            <w:vAlign w:val="bottom"/>
            <w:gridSpan w:val="2"/>
          </w:tcPr>
          <w:p>
            <w:pPr>
              <w:ind w:left="340"/>
              <w:spacing w:after="0" w:line="156" w:lineRule="exact"/>
              <w:rPr>
                <w:sz w:val="20"/>
                <w:szCs w:val="20"/>
                <w:color w:val="auto"/>
              </w:rPr>
            </w:pPr>
            <w:r>
              <w:rPr>
                <w:rFonts w:ascii="Times New Roman" w:cs="Times New Roman" w:eastAsia="Times New Roman" w:hAnsi="Times New Roman"/>
                <w:sz w:val="15"/>
                <w:szCs w:val="15"/>
                <w:color w:val="auto"/>
              </w:rPr>
              <w:t>ABPCI DIRECT LENDING FUND</w:t>
            </w: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E, 12.91% (SOFR + 8.6% due</w:t>
            </w:r>
          </w:p>
        </w:tc>
      </w:tr>
      <w:tr>
        <w:trPr>
          <w:trHeight w:val="198"/>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CLO XV LTD (5)(7)</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October 30, 2035)</w:t>
            </w:r>
          </w:p>
        </w:tc>
      </w:tr>
      <w:tr>
        <w:trPr>
          <w:trHeight w:val="166"/>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4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Secured Note - Class E, 10.28% (SOFR + 5.96%</w:t>
            </w:r>
          </w:p>
        </w:tc>
      </w:tr>
      <w:tr>
        <w:trPr>
          <w:trHeight w:val="208"/>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Atlas Senior Loan Fund LTD (5)(7)</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January 15, 2031)</w:t>
            </w:r>
          </w:p>
        </w:tc>
      </w:tr>
      <w:tr>
        <w:trPr>
          <w:trHeight w:val="157"/>
        </w:trPr>
        <w:tc>
          <w:tcPr>
            <w:tcW w:w="2700" w:type="dxa"/>
            <w:vAlign w:val="bottom"/>
            <w:gridSpan w:val="2"/>
          </w:tcPr>
          <w:p>
            <w:pPr>
              <w:ind w:left="340"/>
              <w:spacing w:after="0" w:line="156" w:lineRule="exact"/>
              <w:rPr>
                <w:sz w:val="20"/>
                <w:szCs w:val="20"/>
                <w:color w:val="auto"/>
              </w:rPr>
            </w:pPr>
            <w:r>
              <w:rPr>
                <w:rFonts w:ascii="Times New Roman" w:cs="Times New Roman" w:eastAsia="Times New Roman" w:hAnsi="Times New Roman"/>
                <w:sz w:val="15"/>
                <w:szCs w:val="15"/>
                <w:color w:val="auto"/>
              </w:rPr>
              <w:t>Atlas Senior Loan Fund XIV (5)(6)</w:t>
            </w: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E, 11.53% (SOFR + 7.2% due</w:t>
            </w:r>
          </w:p>
        </w:tc>
      </w:tr>
      <w:tr>
        <w:trPr>
          <w:trHeight w:val="198"/>
        </w:trPr>
        <w:tc>
          <w:tcPr>
            <w:tcW w:w="26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tcPr>
          <w:p>
            <w:pPr>
              <w:spacing w:after="0"/>
              <w:rPr>
                <w:sz w:val="17"/>
                <w:szCs w:val="17"/>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July 20, 2032)</w:t>
            </w:r>
          </w:p>
        </w:tc>
      </w:tr>
      <w:tr>
        <w:trPr>
          <w:trHeight w:val="166"/>
        </w:trPr>
        <w:tc>
          <w:tcPr>
            <w:tcW w:w="2700" w:type="dxa"/>
            <w:vAlign w:val="bottom"/>
            <w:gridSpan w:val="2"/>
          </w:tcPr>
          <w:p>
            <w:pPr>
              <w:ind w:left="340"/>
              <w:spacing w:after="0" w:line="167" w:lineRule="exact"/>
              <w:rPr>
                <w:sz w:val="20"/>
                <w:szCs w:val="20"/>
                <w:color w:val="auto"/>
              </w:rPr>
            </w:pPr>
            <w:r>
              <w:rPr>
                <w:rFonts w:ascii="Times New Roman" w:cs="Times New Roman" w:eastAsia="Times New Roman" w:hAnsi="Times New Roman"/>
                <w:sz w:val="15"/>
                <w:szCs w:val="15"/>
                <w:color w:val="auto"/>
              </w:rPr>
              <w:t>Atlas Static Senior Loan Fund I Ltd</w:t>
            </w:r>
          </w:p>
        </w:tc>
        <w:tc>
          <w:tcPr>
            <w:tcW w:w="324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Secured Note - Class E, 12.83% (SOFR + 8.51%</w:t>
            </w:r>
          </w:p>
        </w:tc>
      </w:tr>
      <w:tr>
        <w:trPr>
          <w:trHeight w:val="198"/>
        </w:trPr>
        <w:tc>
          <w:tcPr>
            <w:tcW w:w="26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(5)(7)</w:t>
            </w:r>
          </w:p>
        </w:tc>
        <w:tc>
          <w:tcPr>
            <w:tcW w:w="80" w:type="dxa"/>
            <w:vAlign w:val="bottom"/>
          </w:tcPr>
          <w:p>
            <w:pPr>
              <w:spacing w:after="0"/>
              <w:rPr>
                <w:sz w:val="17"/>
                <w:szCs w:val="17"/>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July 15, 2030)</w:t>
            </w:r>
          </w:p>
        </w:tc>
      </w:tr>
      <w:tr>
        <w:trPr>
          <w:trHeight w:val="166"/>
        </w:trPr>
        <w:tc>
          <w:tcPr>
            <w:tcW w:w="2700" w:type="dxa"/>
            <w:vAlign w:val="bottom"/>
            <w:gridSpan w:val="2"/>
          </w:tcPr>
          <w:p>
            <w:pPr>
              <w:ind w:left="340"/>
              <w:spacing w:after="0" w:line="167" w:lineRule="exact"/>
              <w:rPr>
                <w:sz w:val="20"/>
                <w:szCs w:val="20"/>
                <w:color w:val="auto"/>
              </w:rPr>
            </w:pPr>
            <w:r>
              <w:rPr>
                <w:rFonts w:ascii="Times New Roman" w:cs="Times New Roman" w:eastAsia="Times New Roman" w:hAnsi="Times New Roman"/>
                <w:sz w:val="15"/>
                <w:szCs w:val="15"/>
                <w:color w:val="auto"/>
              </w:rPr>
              <w:t>Bain Capital Credit CLO 2017-2 Ltd</w:t>
            </w:r>
          </w:p>
        </w:tc>
        <w:tc>
          <w:tcPr>
            <w:tcW w:w="324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Secured Note - Class ER3, 11.66% (SOFR + 7.34%</w:t>
            </w:r>
          </w:p>
        </w:tc>
      </w:tr>
      <w:tr>
        <w:trPr>
          <w:trHeight w:val="198"/>
        </w:trPr>
        <w:tc>
          <w:tcPr>
            <w:tcW w:w="26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(5)(7)</w:t>
            </w:r>
          </w:p>
        </w:tc>
        <w:tc>
          <w:tcPr>
            <w:tcW w:w="80" w:type="dxa"/>
            <w:vAlign w:val="bottom"/>
          </w:tcPr>
          <w:p>
            <w:pPr>
              <w:spacing w:after="0"/>
              <w:rPr>
                <w:sz w:val="17"/>
                <w:szCs w:val="17"/>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July 25, 2037)</w:t>
            </w:r>
          </w:p>
        </w:tc>
      </w:tr>
      <w:tr>
        <w:trPr>
          <w:trHeight w:val="166"/>
        </w:trPr>
        <w:tc>
          <w:tcPr>
            <w:tcW w:w="2700" w:type="dxa"/>
            <w:vAlign w:val="bottom"/>
            <w:gridSpan w:val="2"/>
          </w:tcPr>
          <w:p>
            <w:pPr>
              <w:ind w:left="340"/>
              <w:spacing w:after="0" w:line="167" w:lineRule="exact"/>
              <w:rPr>
                <w:sz w:val="20"/>
                <w:szCs w:val="20"/>
                <w:color w:val="auto"/>
              </w:rPr>
            </w:pPr>
            <w:r>
              <w:rPr>
                <w:rFonts w:ascii="Times New Roman" w:cs="Times New Roman" w:eastAsia="Times New Roman" w:hAnsi="Times New Roman"/>
                <w:sz w:val="15"/>
                <w:szCs w:val="15"/>
                <w:color w:val="auto"/>
              </w:rPr>
              <w:t>Bain Capital Credit CLO 2022-2 Ltd</w:t>
            </w:r>
          </w:p>
        </w:tc>
        <w:tc>
          <w:tcPr>
            <w:tcW w:w="324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Secured Note - Class ER, 11.68% (SOFR + 7.35%</w:t>
            </w:r>
          </w:p>
        </w:tc>
      </w:tr>
      <w:tr>
        <w:trPr>
          <w:trHeight w:val="198"/>
        </w:trPr>
        <w:tc>
          <w:tcPr>
            <w:tcW w:w="26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(5)(7)</w:t>
            </w:r>
          </w:p>
        </w:tc>
        <w:tc>
          <w:tcPr>
            <w:tcW w:w="80" w:type="dxa"/>
            <w:vAlign w:val="bottom"/>
          </w:tcPr>
          <w:p>
            <w:pPr>
              <w:spacing w:after="0"/>
              <w:rPr>
                <w:sz w:val="17"/>
                <w:szCs w:val="17"/>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April 22, 2035)</w:t>
            </w:r>
          </w:p>
        </w:tc>
      </w:tr>
      <w:tr>
        <w:trPr>
          <w:trHeight w:val="166"/>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4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Secured Note - Class D, 11.44% (SOFR + 7.11%</w:t>
            </w:r>
          </w:p>
        </w:tc>
      </w:tr>
      <w:tr>
        <w:trPr>
          <w:trHeight w:val="208"/>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Ballyrock Ltd (5)(7)</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April 20, 2035)</w:t>
            </w:r>
          </w:p>
        </w:tc>
      </w:tr>
      <w:tr>
        <w:trPr>
          <w:trHeight w:val="157"/>
        </w:trPr>
        <w:tc>
          <w:tcPr>
            <w:tcW w:w="2700" w:type="dxa"/>
            <w:vAlign w:val="bottom"/>
            <w:gridSpan w:val="2"/>
          </w:tcPr>
          <w:p>
            <w:pPr>
              <w:ind w:left="340"/>
              <w:spacing w:after="0" w:line="156" w:lineRule="exact"/>
              <w:rPr>
                <w:sz w:val="20"/>
                <w:szCs w:val="20"/>
                <w:color w:val="auto"/>
              </w:rPr>
            </w:pPr>
            <w:r>
              <w:rPr>
                <w:rFonts w:ascii="Times New Roman" w:cs="Times New Roman" w:eastAsia="Times New Roman" w:hAnsi="Times New Roman"/>
                <w:sz w:val="15"/>
                <w:szCs w:val="15"/>
                <w:color w:val="auto"/>
              </w:rPr>
              <w:t>Blackrock MT Hood CLO X LLC</w:t>
            </w: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E, 14.37% (SOFR + 10.04%</w:t>
            </w:r>
          </w:p>
        </w:tc>
      </w:tr>
      <w:tr>
        <w:trPr>
          <w:trHeight w:val="198"/>
        </w:trPr>
        <w:tc>
          <w:tcPr>
            <w:tcW w:w="26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(5)(7)</w:t>
            </w:r>
          </w:p>
        </w:tc>
        <w:tc>
          <w:tcPr>
            <w:tcW w:w="80" w:type="dxa"/>
            <w:vAlign w:val="bottom"/>
          </w:tcPr>
          <w:p>
            <w:pPr>
              <w:spacing w:after="0"/>
              <w:rPr>
                <w:sz w:val="17"/>
                <w:szCs w:val="17"/>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April 20, 2035)</w:t>
            </w:r>
          </w:p>
        </w:tc>
      </w:tr>
      <w:tr>
        <w:trPr>
          <w:trHeight w:val="166"/>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4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Secured Note - Class ERR, 11.82% (SOFR + 7.5%</w:t>
            </w:r>
          </w:p>
        </w:tc>
      </w:tr>
      <w:tr>
        <w:trPr>
          <w:trHeight w:val="208"/>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Canyon Capital CLO Ltd (5)(7)</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July 15, 2037)</w:t>
            </w:r>
          </w:p>
        </w:tc>
      </w:tr>
      <w:tr>
        <w:trPr>
          <w:trHeight w:val="157"/>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ER, 10.33% (SOFR + 6.01%</w:t>
            </w:r>
          </w:p>
        </w:tc>
      </w:tr>
      <w:tr>
        <w:trPr>
          <w:trHeight w:val="208"/>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Canyon Capital CLO Ltd (7)</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July 15, 2031)</w:t>
            </w:r>
          </w:p>
        </w:tc>
      </w:tr>
      <w:tr>
        <w:trPr>
          <w:trHeight w:val="157"/>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B2LR, 11.11% (SOFR +</w:t>
            </w:r>
          </w:p>
        </w:tc>
      </w:tr>
      <w:tr>
        <w:trPr>
          <w:trHeight w:val="208"/>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CIFC Funding Ltd (5)(7)</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6.78% due October 18, 2030)</w:t>
            </w:r>
          </w:p>
        </w:tc>
      </w:tr>
      <w:tr>
        <w:trPr>
          <w:trHeight w:val="157"/>
        </w:trPr>
        <w:tc>
          <w:tcPr>
            <w:tcW w:w="2700" w:type="dxa"/>
            <w:vAlign w:val="bottom"/>
            <w:gridSpan w:val="2"/>
          </w:tcPr>
          <w:p>
            <w:pPr>
              <w:ind w:left="340"/>
              <w:spacing w:after="0" w:line="156" w:lineRule="exact"/>
              <w:rPr>
                <w:sz w:val="20"/>
                <w:szCs w:val="20"/>
                <w:color w:val="auto"/>
              </w:rPr>
            </w:pPr>
            <w:r>
              <w:rPr>
                <w:rFonts w:ascii="Times New Roman" w:cs="Times New Roman" w:eastAsia="Times New Roman" w:hAnsi="Times New Roman"/>
                <w:sz w:val="15"/>
                <w:szCs w:val="15"/>
                <w:color w:val="auto"/>
              </w:rPr>
              <w:t>CIFC-LBC Middle Market CLO</w:t>
            </w: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E, 13.63% (SOFR + 9.3% due</w:t>
            </w:r>
          </w:p>
        </w:tc>
      </w:tr>
      <w:tr>
        <w:trPr>
          <w:trHeight w:val="198"/>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2023-1 LLC (5)(7)</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October 20, 2035)</w:t>
            </w:r>
          </w:p>
        </w:tc>
      </w:tr>
      <w:tr>
        <w:trPr>
          <w:trHeight w:val="166"/>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4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Secured Note - Class E1, 10.94% (SOFR + 6.61%</w:t>
            </w:r>
          </w:p>
        </w:tc>
      </w:tr>
      <w:tr>
        <w:trPr>
          <w:trHeight w:val="208"/>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Crestline Denali CLO XV Ltd (5)(7)</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April 20, 2030)</w:t>
            </w:r>
          </w:p>
        </w:tc>
      </w:tr>
      <w:tr>
        <w:trPr>
          <w:trHeight w:val="157"/>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D, 11.34% (SOFR + 7.01%</w:t>
            </w:r>
          </w:p>
        </w:tc>
      </w:tr>
      <w:tr>
        <w:trPr>
          <w:trHeight w:val="208"/>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Crown City CLO III (5)(7)</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July 20, 2034)</w:t>
            </w:r>
          </w:p>
        </w:tc>
      </w:tr>
      <w:tr>
        <w:trPr>
          <w:trHeight w:val="157"/>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ER, 11.34% (SOFR + 7.02%</w:t>
            </w:r>
          </w:p>
        </w:tc>
      </w:tr>
      <w:tr>
        <w:trPr>
          <w:trHeight w:val="208"/>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Crown Point CLO 9 Ltd (5)(7)</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July 14, 2034)</w:t>
            </w:r>
          </w:p>
        </w:tc>
      </w:tr>
      <w:tr>
        <w:trPr>
          <w:trHeight w:val="157"/>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E, 11.44% (SOFR + 7.11%</w:t>
            </w:r>
          </w:p>
        </w:tc>
      </w:tr>
      <w:tr>
        <w:trPr>
          <w:trHeight w:val="208"/>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Crown Point CLO Ltd (5)(7)</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July 20, 2034)</w:t>
            </w:r>
          </w:p>
        </w:tc>
      </w:tr>
      <w:tr>
        <w:trPr>
          <w:trHeight w:val="157"/>
        </w:trPr>
        <w:tc>
          <w:tcPr>
            <w:tcW w:w="2700" w:type="dxa"/>
            <w:vAlign w:val="bottom"/>
            <w:gridSpan w:val="2"/>
          </w:tcPr>
          <w:p>
            <w:pPr>
              <w:ind w:left="340"/>
              <w:spacing w:after="0" w:line="156" w:lineRule="exact"/>
              <w:rPr>
                <w:sz w:val="20"/>
                <w:szCs w:val="20"/>
                <w:color w:val="auto"/>
              </w:rPr>
            </w:pPr>
            <w:r>
              <w:rPr>
                <w:rFonts w:ascii="Times New Roman" w:cs="Times New Roman" w:eastAsia="Times New Roman" w:hAnsi="Times New Roman"/>
                <w:sz w:val="15"/>
                <w:szCs w:val="15"/>
                <w:color w:val="auto"/>
              </w:rPr>
              <w:t>Dryden 54 Senior Loan Fund (5)(6)</w:t>
            </w: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E, 10.79% (SOFR + 6.46%</w:t>
            </w:r>
          </w:p>
        </w:tc>
      </w:tr>
      <w:tr>
        <w:trPr>
          <w:trHeight w:val="198"/>
        </w:trPr>
        <w:tc>
          <w:tcPr>
            <w:tcW w:w="26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tcPr>
          <w:p>
            <w:pPr>
              <w:spacing w:after="0"/>
              <w:rPr>
                <w:sz w:val="17"/>
                <w:szCs w:val="17"/>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October 19, 2029)</w:t>
            </w:r>
          </w:p>
        </w:tc>
      </w:tr>
      <w:tr>
        <w:trPr>
          <w:trHeight w:val="166"/>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4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Secured Note - Class ER3, 11.97% (SOFR + 7.75%</w:t>
            </w:r>
          </w:p>
        </w:tc>
      </w:tr>
      <w:tr>
        <w:trPr>
          <w:trHeight w:val="208"/>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Elevation CLO Ltd (5)(6)(7)</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July 25, 2038)</w:t>
            </w:r>
          </w:p>
        </w:tc>
      </w:tr>
      <w:tr>
        <w:trPr>
          <w:trHeight w:val="157"/>
        </w:trPr>
        <w:tc>
          <w:tcPr>
            <w:tcW w:w="2700" w:type="dxa"/>
            <w:vAlign w:val="bottom"/>
            <w:gridSpan w:val="2"/>
          </w:tcPr>
          <w:p>
            <w:pPr>
              <w:ind w:left="340"/>
              <w:spacing w:after="0" w:line="156" w:lineRule="exact"/>
              <w:rPr>
                <w:sz w:val="20"/>
                <w:szCs w:val="20"/>
                <w:color w:val="auto"/>
              </w:rPr>
            </w:pPr>
            <w:r>
              <w:rPr>
                <w:rFonts w:ascii="Times New Roman" w:cs="Times New Roman" w:eastAsia="Times New Roman" w:hAnsi="Times New Roman"/>
                <w:sz w:val="15"/>
                <w:szCs w:val="15"/>
                <w:color w:val="auto"/>
              </w:rPr>
              <w:t>First Eagle BSL CLO 2019-1 Ltd</w:t>
            </w: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D, 12.29% (SOFR + 7.96%</w:t>
            </w:r>
          </w:p>
        </w:tc>
      </w:tr>
      <w:tr>
        <w:trPr>
          <w:trHeight w:val="198"/>
        </w:trPr>
        <w:tc>
          <w:tcPr>
            <w:tcW w:w="26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(5)(7)</w:t>
            </w:r>
          </w:p>
        </w:tc>
        <w:tc>
          <w:tcPr>
            <w:tcW w:w="80" w:type="dxa"/>
            <w:vAlign w:val="bottom"/>
          </w:tcPr>
          <w:p>
            <w:pPr>
              <w:spacing w:after="0"/>
              <w:rPr>
                <w:sz w:val="17"/>
                <w:szCs w:val="17"/>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January 20, 2033)</w:t>
            </w:r>
          </w:p>
        </w:tc>
      </w:tr>
      <w:tr>
        <w:trPr>
          <w:trHeight w:val="166"/>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4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Secured Note - Class ER, 11.03% (SOFR + 6.71%</w:t>
            </w:r>
          </w:p>
        </w:tc>
      </w:tr>
      <w:tr>
        <w:trPr>
          <w:trHeight w:val="208"/>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Fortress Credit BSL Limited (5)(7)</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July 23, 2031)</w:t>
            </w:r>
          </w:p>
        </w:tc>
      </w:tr>
      <w:tr>
        <w:trPr>
          <w:trHeight w:val="157"/>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E, 11.6% (SOFR + 7.27% due</w:t>
            </w:r>
          </w:p>
        </w:tc>
      </w:tr>
      <w:tr>
        <w:trPr>
          <w:trHeight w:val="208"/>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Fortress Credit BSL VIII Ltd (5)(7)</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October 20, 2032)</w:t>
            </w:r>
          </w:p>
        </w:tc>
      </w:tr>
      <w:tr>
        <w:trPr>
          <w:trHeight w:val="157"/>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E, 11.71% (SOFR + 7.39%</w:t>
            </w:r>
          </w:p>
        </w:tc>
      </w:tr>
      <w:tr>
        <w:trPr>
          <w:trHeight w:val="208"/>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Fortress Credit BSL XII Ltd (5)(7)</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October 15, 2034)</w:t>
            </w:r>
          </w:p>
        </w:tc>
      </w:tr>
      <w:tr>
        <w:trPr>
          <w:trHeight w:val="157"/>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E, 12.47% (SOFR + 8.15%</w:t>
            </w:r>
          </w:p>
        </w:tc>
      </w:tr>
      <w:tr>
        <w:trPr>
          <w:trHeight w:val="208"/>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Fortress Credit BSL XVII Ltd (5)(7)</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October 23, 2034)</w:t>
            </w:r>
          </w:p>
        </w:tc>
      </w:tr>
      <w:tr>
        <w:trPr>
          <w:trHeight w:val="156"/>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DRR, 11.63% (SOFR +</w:t>
            </w:r>
          </w:p>
        </w:tc>
      </w:tr>
      <w:tr>
        <w:trPr>
          <w:trHeight w:val="208"/>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Greywolf CLO II Ltd (5)(7)</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7.31% due April 15, 2034)</w:t>
            </w:r>
          </w:p>
        </w:tc>
      </w:tr>
      <w:tr>
        <w:trPr>
          <w:trHeight w:val="156"/>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Secured Note - Class ER, 12.42% (SOFR + 8.11%</w:t>
            </w:r>
          </w:p>
        </w:tc>
      </w:tr>
      <w:tr>
        <w:trPr>
          <w:trHeight w:val="208"/>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HalseyPoint CLO 3 Ltd (5)(7)</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due July 30, 2037)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-6534785</wp:posOffset>
            </wp:positionV>
            <wp:extent cx="701230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12305" cy="13716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-6269355</wp:posOffset>
            </wp:positionV>
            <wp:extent cx="70123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12305" cy="12890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-6012180</wp:posOffset>
            </wp:positionV>
            <wp:extent cx="7012305" cy="2317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12305" cy="2317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-5549265</wp:posOffset>
            </wp:positionV>
            <wp:extent cx="7012305" cy="2311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12305" cy="2311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-5086350</wp:posOffset>
            </wp:positionV>
            <wp:extent cx="7012305" cy="2311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12305" cy="2311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-4623435</wp:posOffset>
            </wp:positionV>
            <wp:extent cx="7012305" cy="2311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12305" cy="2311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-4160520</wp:posOffset>
            </wp:positionV>
            <wp:extent cx="7012305" cy="2317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12305" cy="2317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-3697605</wp:posOffset>
            </wp:positionV>
            <wp:extent cx="7012305" cy="2317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12305" cy="2317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-3234690</wp:posOffset>
            </wp:positionV>
            <wp:extent cx="7012305" cy="2317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12305" cy="2317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-2771775</wp:posOffset>
            </wp:positionV>
            <wp:extent cx="7012305" cy="2317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12305" cy="2317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-2308860</wp:posOffset>
            </wp:positionV>
            <wp:extent cx="7012305" cy="2317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12305" cy="2317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-1845945</wp:posOffset>
            </wp:positionV>
            <wp:extent cx="7012305" cy="2317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12305" cy="2317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-1383030</wp:posOffset>
            </wp:positionV>
            <wp:extent cx="7012305" cy="2317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12305" cy="2317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-920115</wp:posOffset>
            </wp:positionV>
            <wp:extent cx="7012305" cy="2311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12305" cy="2311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-457200</wp:posOffset>
            </wp:positionV>
            <wp:extent cx="7012305" cy="2317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12305" cy="231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Acquisition</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Principal</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 of Net</w:t>
            </w:r>
          </w:p>
        </w:tc>
      </w:tr>
      <w:tr>
        <w:trPr>
          <w:trHeight w:val="216"/>
        </w:trPr>
        <w:tc>
          <w:tcPr>
            <w:tcW w:w="9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5"/>
                <w:szCs w:val="15"/>
                <w:b w:val="1"/>
                <w:bCs w:val="1"/>
                <w:color w:val="auto"/>
                <w:w w:val="93"/>
              </w:rPr>
              <w:t>Date</w:t>
            </w:r>
            <w:r>
              <w:rPr>
                <w:rFonts w:ascii="Times New Roman" w:cs="Times New Roman" w:eastAsia="Times New Roman" w:hAnsi="Times New Roman"/>
                <w:sz w:val="19"/>
                <w:szCs w:val="19"/>
                <w:b w:val="1"/>
                <w:bCs w:val="1"/>
                <w:color w:val="auto"/>
                <w:w w:val="93"/>
                <w:vertAlign w:val="superscript"/>
              </w:rPr>
              <w:t>(2)</w:t>
            </w:r>
          </w:p>
        </w:tc>
        <w:tc>
          <w:tcPr>
            <w:tcW w:w="8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Amount/Shares</w:t>
            </w:r>
          </w:p>
        </w:tc>
        <w:tc>
          <w:tcPr>
            <w:tcW w:w="100" w:type="dxa"/>
            <w:vAlign w:val="bottom"/>
          </w:tcPr>
          <w:p>
            <w:pPr>
              <w:spacing w:after="0"/>
              <w:rPr>
                <w:sz w:val="18"/>
                <w:szCs w:val="18"/>
                <w:color w:val="auto"/>
              </w:rPr>
            </w:pPr>
          </w:p>
        </w:tc>
        <w:tc>
          <w:tcPr>
            <w:tcW w:w="8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5"/>
                <w:szCs w:val="15"/>
                <w:b w:val="1"/>
                <w:bCs w:val="1"/>
                <w:color w:val="auto"/>
              </w:rPr>
              <w:t>Cost</w:t>
            </w:r>
          </w:p>
        </w:tc>
        <w:tc>
          <w:tcPr>
            <w:tcW w:w="80" w:type="dxa"/>
            <w:vAlign w:val="bottom"/>
          </w:tcPr>
          <w:p>
            <w:pPr>
              <w:spacing w:after="0"/>
              <w:rPr>
                <w:sz w:val="18"/>
                <w:szCs w:val="18"/>
                <w:color w:val="auto"/>
              </w:rPr>
            </w:pPr>
          </w:p>
        </w:tc>
        <w:tc>
          <w:tcPr>
            <w:tcW w:w="900" w:type="dxa"/>
            <w:vAlign w:val="bottom"/>
            <w:tcBorders>
              <w:bottom w:val="single" w:sz="8" w:color="auto"/>
            </w:tcBorders>
          </w:tcPr>
          <w:p>
            <w:pPr>
              <w:ind w:left="60"/>
              <w:spacing w:after="0" w:line="216" w:lineRule="exact"/>
              <w:rPr>
                <w:sz w:val="20"/>
                <w:szCs w:val="20"/>
                <w:color w:val="auto"/>
              </w:rPr>
            </w:pPr>
            <w:r>
              <w:rPr>
                <w:rFonts w:ascii="Times New Roman" w:cs="Times New Roman" w:eastAsia="Times New Roman" w:hAnsi="Times New Roman"/>
                <w:sz w:val="15"/>
                <w:szCs w:val="15"/>
                <w:b w:val="1"/>
                <w:bCs w:val="1"/>
                <w:color w:val="auto"/>
                <w:w w:val="98"/>
              </w:rPr>
              <w:t>Fair Value</w:t>
            </w:r>
            <w:r>
              <w:rPr>
                <w:rFonts w:ascii="Times New Roman" w:cs="Times New Roman" w:eastAsia="Times New Roman" w:hAnsi="Times New Roman"/>
                <w:sz w:val="19"/>
                <w:szCs w:val="19"/>
                <w:b w:val="1"/>
                <w:bCs w:val="1"/>
                <w:color w:val="auto"/>
                <w:w w:val="98"/>
                <w:vertAlign w:val="superscript"/>
              </w:rPr>
              <w:t>(3)</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Assets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220" w:type="dxa"/>
        <w:tblCellMar>
          <w:top w:w="0" w:type="dxa"/>
          <w:left w:w="0" w:type="dxa"/>
          <w:bottom w:w="0" w:type="dxa"/>
          <w:right w:w="0" w:type="dxa"/>
        </w:tblCellMar>
      </w:tblPr>
      <w:tr>
        <w:trPr>
          <w:trHeight w:val="198"/>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08/05/25</w:t>
            </w:r>
          </w:p>
        </w:tc>
        <w:tc>
          <w:tcPr>
            <w:tcW w:w="50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1,670</w:t>
            </w:r>
          </w:p>
        </w:tc>
        <w:tc>
          <w:tcPr>
            <w:tcW w:w="3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1,670</w:t>
            </w:r>
          </w:p>
        </w:tc>
        <w:tc>
          <w:tcPr>
            <w:tcW w:w="3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1,665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0.74 %</w:t>
            </w:r>
          </w:p>
        </w:tc>
      </w:tr>
      <w:tr>
        <w:trPr>
          <w:trHeight w:val="364"/>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04/24/25</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3,000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3,011</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3,010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1.34 %</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07/22/25</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1,850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1,766</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1,727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0.77 %</w:t>
            </w:r>
          </w:p>
        </w:tc>
      </w:tr>
      <w:tr>
        <w:trPr>
          <w:trHeight w:val="364"/>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05/16/24</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1,250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1,032</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1,126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0.50 %</w:t>
            </w:r>
          </w:p>
        </w:tc>
      </w:tr>
      <w:tr>
        <w:trPr>
          <w:trHeight w:val="364"/>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04/07/25</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2,970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2,960</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2,978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1.32 %</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06/24/25</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6,560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6,560</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6,628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2.94 %</w:t>
            </w:r>
          </w:p>
        </w:tc>
      </w:tr>
      <w:tr>
        <w:trPr>
          <w:trHeight w:val="364"/>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06/13/25</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1,620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1,620</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1,628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0.72 %</w:t>
            </w:r>
          </w:p>
        </w:tc>
      </w:tr>
      <w:tr>
        <w:trPr>
          <w:trHeight w:val="364"/>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08/20/25</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2,130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2,130</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2,118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0.94 %</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04/29/25</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2,458</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2,445</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2,459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1.09 %</w:t>
            </w:r>
          </w:p>
        </w:tc>
      </w:tr>
      <w:tr>
        <w:trPr>
          <w:trHeight w:val="364"/>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07/24/25</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650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646</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646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0.29 %</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07/15/25</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1,500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1,486</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1,475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0.66 %</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09/11/25</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2,834</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2,825</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2,820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1.25 %</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05/28/25</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1,140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1,141</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1,143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0.51 %</w:t>
            </w:r>
          </w:p>
        </w:tc>
      </w:tr>
      <w:tr>
        <w:trPr>
          <w:trHeight w:val="364"/>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03/28/25</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1,500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1,485</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1,498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0.67 %</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05/08/25</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2,000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1,915</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1,936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0.86 %</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05/06/25</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2,500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2,471</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2,497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1.11 %</w:t>
            </w:r>
          </w:p>
        </w:tc>
      </w:tr>
      <w:tr>
        <w:trPr>
          <w:trHeight w:val="364"/>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07/01/25</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1,700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1,688</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1,702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0.76 %</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08/20/24</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1,750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1,638</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1,694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0.75 %</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08/11/25</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3,600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3,425</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3,474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1.54 %</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05/16/25</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5,590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5,504</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5,544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2.46 %</w:t>
            </w:r>
          </w:p>
        </w:tc>
      </w:tr>
      <w:tr>
        <w:trPr>
          <w:trHeight w:val="364"/>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07/30/25</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1,000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1,003</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1,006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0.45 %</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03/06/24</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3,000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2,937</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3,000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1.33 %</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06/26/25</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1,000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964</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959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0.43 %</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06/10/24</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1,250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1,250</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1,251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0.56 %</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02/20/25</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2,000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1,951</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2,004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0.89 %</w:t>
            </w:r>
          </w:p>
        </w:tc>
      </w:tr>
      <w:tr>
        <w:trPr>
          <w:trHeight w:val="364"/>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08/23/24</w:t>
            </w:r>
          </w:p>
        </w:tc>
        <w:tc>
          <w:tcPr>
            <w:tcW w:w="50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860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862</w:t>
            </w:r>
          </w:p>
        </w:tc>
        <w:tc>
          <w:tcPr>
            <w:tcW w:w="36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869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0.39 %</w:t>
            </w:r>
          </w:p>
        </w:tc>
      </w:tr>
    </w:tbl>
    <w:p>
      <w:pPr>
        <w:spacing w:after="0" w:line="200" w:lineRule="exact"/>
        <w:rPr>
          <w:sz w:val="20"/>
          <w:szCs w:val="20"/>
          <w:color w:val="auto"/>
        </w:rPr>
      </w:pPr>
    </w:p>
    <w:p>
      <w:pPr>
        <w:sectPr>
          <w:pgSz w:w="11900" w:h="16838" w:orient="portrait"/>
          <w:cols w:equalWidth="0" w:num="2">
            <w:col w:w="5940" w:space="80"/>
            <w:col w:w="5020"/>
          </w:cols>
          <w:pgMar w:left="420" w:top="968" w:right="439" w:bottom="1440" w:gutter="0" w:footer="0" w:header="0"/>
          <w:type w:val="continuous"/>
        </w:sect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40"/>
          </w:cols>
          <w:pgMar w:left="420" w:top="968" w:right="439" w:bottom="1440" w:gutter="0" w:footer="0" w:header="0"/>
          <w:type w:val="continuous"/>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SCHEDULE OF INVESTMENTS</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0123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ectPr>
          <w:pgSz w:w="11900" w:h="16838" w:orient="portrait"/>
          <w:cols w:equalWidth="0" w:num="1">
            <w:col w:w="11020"/>
          </w:cols>
          <w:pgMar w:left="440" w:top="968" w:right="439" w:bottom="1440" w:gutter="0" w:footer="0" w:header="0"/>
        </w:sect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Issuer</w:t>
      </w:r>
      <w:r>
        <w:rPr>
          <w:rFonts w:ascii="Times New Roman" w:cs="Times New Roman" w:eastAsia="Times New Roman" w:hAnsi="Times New Roman"/>
          <w:sz w:val="19"/>
          <w:szCs w:val="19"/>
          <w:b w:val="1"/>
          <w:bCs w:val="1"/>
          <w:color w:val="auto"/>
          <w:vertAlign w:val="superscript"/>
        </w:rPr>
        <w:t>(1)</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HalseyPoint CLO Ltd. (5)(7)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ICG US CLO 2014-1 Ltd (5)(7)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ICG US CLO 2014-2 Ltd (5)(7)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ICG US CLO 2017-1 Ltd (5)(7)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Jamestown CLO Ltd (5)(7)</w:t>
      </w:r>
    </w:p>
    <w:p>
      <w:pPr>
        <w:spacing w:after="0" w:line="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Madison Park Funding XXIV Ltd</w:t>
      </w:r>
    </w:p>
    <w:p>
      <w:pPr>
        <w:ind w:left="320"/>
        <w:spacing w:after="0"/>
        <w:rPr>
          <w:sz w:val="20"/>
          <w:szCs w:val="20"/>
          <w:color w:val="auto"/>
        </w:rPr>
      </w:pPr>
      <w:r>
        <w:rPr>
          <w:rFonts w:ascii="Times New Roman" w:cs="Times New Roman" w:eastAsia="Times New Roman" w:hAnsi="Times New Roman"/>
          <w:sz w:val="15"/>
          <w:szCs w:val="15"/>
          <w:color w:val="auto"/>
        </w:rPr>
        <w:t>(5)(7)</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Marathon CLO 2021-16 Ltd (5)(7)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Marathon CLO VI Ltd (6)</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MCF CLO IV LLC (5)</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MCF CLO LLC (5)(7)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Northwoods Capital 27 Ltd (5)(7)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Ocean Trails CLO (5)(7)</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Octagon Investment Partners 44 (5)</w:t>
      </w:r>
    </w:p>
    <w:p>
      <w:pPr>
        <w:ind w:left="320"/>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Octagon Investment Partners 50 (5)</w:t>
      </w:r>
    </w:p>
    <w:p>
      <w:pPr>
        <w:ind w:left="320"/>
        <w:spacing w:after="0"/>
        <w:rPr>
          <w:sz w:val="20"/>
          <w:szCs w:val="20"/>
          <w:color w:val="auto"/>
        </w:rPr>
      </w:pPr>
      <w:r>
        <w:rPr>
          <w:rFonts w:ascii="Times New Roman" w:cs="Times New Roman" w:eastAsia="Times New Roman" w:hAnsi="Times New Roman"/>
          <w:sz w:val="15"/>
          <w:szCs w:val="15"/>
          <w:color w:val="auto"/>
        </w:rPr>
        <w:t>(7)</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OZLM Ltd (5)(7)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OZLM XXIV Ltd (5)(6)(7)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Parallel 2020-1 Ltd (5)(7)</w:t>
      </w:r>
    </w:p>
    <w:p>
      <w:pPr>
        <w:spacing w:after="0" w:line="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Park Avenue Institutional Advisors</w:t>
      </w:r>
    </w:p>
    <w:p>
      <w:pPr>
        <w:ind w:left="320"/>
        <w:spacing w:after="0"/>
        <w:rPr>
          <w:sz w:val="20"/>
          <w:szCs w:val="20"/>
          <w:color w:val="auto"/>
        </w:rPr>
      </w:pPr>
      <w:r>
        <w:rPr>
          <w:rFonts w:ascii="Times New Roman" w:cs="Times New Roman" w:eastAsia="Times New Roman" w:hAnsi="Times New Roman"/>
          <w:sz w:val="15"/>
          <w:szCs w:val="15"/>
          <w:color w:val="auto"/>
        </w:rPr>
        <w:t>(5)</w:t>
      </w:r>
    </w:p>
    <w:p>
      <w:pPr>
        <w:spacing w:after="0" w:line="28" w:lineRule="exact"/>
        <w:rPr>
          <w:sz w:val="20"/>
          <w:szCs w:val="20"/>
          <w:color w:val="auto"/>
        </w:rPr>
      </w:pPr>
    </w:p>
    <w:p>
      <w:pPr>
        <w:ind w:left="320" w:right="40"/>
        <w:spacing w:after="0" w:line="242" w:lineRule="auto"/>
        <w:rPr>
          <w:sz w:val="20"/>
          <w:szCs w:val="20"/>
          <w:color w:val="auto"/>
        </w:rPr>
      </w:pPr>
      <w:r>
        <w:rPr>
          <w:rFonts w:ascii="Times New Roman" w:cs="Times New Roman" w:eastAsia="Times New Roman" w:hAnsi="Times New Roman"/>
          <w:sz w:val="15"/>
          <w:szCs w:val="15"/>
          <w:color w:val="auto"/>
        </w:rPr>
        <w:t>Park Avenue Institutional Advisers CLO Ltd 2021-2 (5)(7)</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Park Blue CLO Ltd (5)(13)</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Park Blue CLO Ltd (5)(6)(13)</w:t>
      </w:r>
    </w:p>
    <w:p>
      <w:pPr>
        <w:spacing w:after="0" w:line="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Rockford Tower CLO 2021-3 Ltd</w:t>
      </w:r>
    </w:p>
    <w:p>
      <w:pPr>
        <w:ind w:left="320"/>
        <w:spacing w:after="0"/>
        <w:rPr>
          <w:sz w:val="20"/>
          <w:szCs w:val="20"/>
          <w:color w:val="auto"/>
        </w:rPr>
      </w:pPr>
      <w:r>
        <w:rPr>
          <w:rFonts w:ascii="Times New Roman" w:cs="Times New Roman" w:eastAsia="Times New Roman" w:hAnsi="Times New Roman"/>
          <w:sz w:val="15"/>
          <w:szCs w:val="15"/>
          <w:color w:val="auto"/>
        </w:rPr>
        <w:t>(5)(7)</w:t>
      </w:r>
    </w:p>
    <w:p>
      <w:pPr>
        <w:spacing w:after="0" w:line="28" w:lineRule="exact"/>
        <w:rPr>
          <w:sz w:val="20"/>
          <w:szCs w:val="20"/>
          <w:color w:val="auto"/>
        </w:rPr>
      </w:pPr>
    </w:p>
    <w:p>
      <w:pPr>
        <w:ind w:left="320" w:right="240"/>
        <w:spacing w:after="0" w:line="242" w:lineRule="auto"/>
        <w:rPr>
          <w:sz w:val="20"/>
          <w:szCs w:val="20"/>
          <w:color w:val="auto"/>
        </w:rPr>
      </w:pPr>
      <w:r>
        <w:rPr>
          <w:rFonts w:ascii="Times New Roman" w:cs="Times New Roman" w:eastAsia="Times New Roman" w:hAnsi="Times New Roman"/>
          <w:sz w:val="15"/>
          <w:szCs w:val="15"/>
          <w:color w:val="auto"/>
        </w:rPr>
        <w:t>Saratoga Investment Corp CLO 2013-1 Ltd (5)(6)(7)</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Symphony CLO XV Ltd (5)(6)(7)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Symphony CLO XVI Ltd (5)(6)(7)</w:t>
      </w:r>
    </w:p>
    <w:p>
      <w:pPr>
        <w:spacing w:after="0" w:line="30" w:lineRule="exact"/>
        <w:rPr>
          <w:sz w:val="20"/>
          <w:szCs w:val="20"/>
          <w:color w:val="auto"/>
        </w:rPr>
      </w:pPr>
    </w:p>
    <w:p>
      <w:pPr>
        <w:ind w:left="320" w:right="240"/>
        <w:spacing w:after="0" w:line="242" w:lineRule="auto"/>
        <w:rPr>
          <w:sz w:val="20"/>
          <w:szCs w:val="20"/>
          <w:color w:val="auto"/>
        </w:rPr>
      </w:pPr>
      <w:r>
        <w:rPr>
          <w:rFonts w:ascii="Times New Roman" w:cs="Times New Roman" w:eastAsia="Times New Roman" w:hAnsi="Times New Roman"/>
          <w:sz w:val="15"/>
          <w:szCs w:val="15"/>
          <w:color w:val="auto"/>
        </w:rPr>
        <w:t>THL Credit Wind River 2019-3 CLO Ltd (5)(7)</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Tralee CLO V Ltd (5)(6)</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Trinitas CLO IX Ltd (5)(7)</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Investment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24130</wp:posOffset>
            </wp:positionV>
            <wp:extent cx="7012305" cy="240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12305" cy="240030"/>
                    </a:xfrm>
                    <a:prstGeom prst="rect">
                      <a:avLst/>
                    </a:prstGeom>
                    <a:noFill/>
                  </pic:spPr>
                </pic:pic>
              </a:graphicData>
            </a:graphic>
          </wp:anchor>
        </w:drawing>
      </w:r>
    </w:p>
    <w:p>
      <w:pPr>
        <w:spacing w:after="0" w:line="28"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5"/>
          <w:szCs w:val="15"/>
          <w:color w:val="auto"/>
        </w:rPr>
        <w:t>Secured Note - Class E, 11.3% (SOFR + 6.97% due April 20, 2034)</w:t>
      </w:r>
    </w:p>
    <w:p>
      <w:pPr>
        <w:spacing w:after="0" w:line="17"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5"/>
          <w:szCs w:val="15"/>
          <w:color w:val="auto"/>
        </w:rPr>
        <w:t>Secured Note - Class DR2, 12.94% (SOFR + 8.61% due October 20, 2034)</w:t>
      </w:r>
    </w:p>
    <w:p>
      <w:pPr>
        <w:spacing w:after="0" w:line="17"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5"/>
          <w:szCs w:val="15"/>
          <w:color w:val="auto"/>
        </w:rPr>
        <w:t>Secured Note - Class ERR, 9.78% (SOFR + 5.46% due January 15,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-217805</wp:posOffset>
            </wp:positionV>
            <wp:extent cx="7012305" cy="2317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12305" cy="231775"/>
                    </a:xfrm>
                    <a:prstGeom prst="rect">
                      <a:avLst/>
                    </a:prstGeom>
                    <a:noFill/>
                  </pic:spPr>
                </pic:pic>
              </a:graphicData>
            </a:graphic>
          </wp:anchor>
        </w:drawing>
      </w:r>
    </w:p>
    <w:p>
      <w:pPr>
        <w:ind w:right="20"/>
        <w:spacing w:after="0" w:line="242" w:lineRule="auto"/>
        <w:rPr>
          <w:sz w:val="20"/>
          <w:szCs w:val="20"/>
          <w:color w:val="auto"/>
        </w:rPr>
      </w:pPr>
      <w:r>
        <w:rPr>
          <w:rFonts w:ascii="Times New Roman" w:cs="Times New Roman" w:eastAsia="Times New Roman" w:hAnsi="Times New Roman"/>
          <w:sz w:val="15"/>
          <w:szCs w:val="15"/>
          <w:color w:val="auto"/>
        </w:rPr>
        <w:t>Secured Note - Class ERR, 11.94% (SOFR + 7.62% due July 28, 2034)</w:t>
      </w:r>
    </w:p>
    <w:p>
      <w:pPr>
        <w:spacing w:after="0" w:line="17"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5"/>
          <w:szCs w:val="15"/>
          <w:color w:val="auto"/>
        </w:rPr>
        <w:t>Secured Note - Class DR3, 10.76% (SOFR + 6.5% due July 25, 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-217805</wp:posOffset>
            </wp:positionV>
            <wp:extent cx="7012305" cy="2311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12305" cy="231140"/>
                    </a:xfrm>
                    <a:prstGeom prst="rect">
                      <a:avLst/>
                    </a:prstGeom>
                    <a:noFill/>
                  </pic:spPr>
                </pic:pic>
              </a:graphicData>
            </a:graphic>
          </wp:anchor>
        </w:drawing>
      </w:r>
    </w:p>
    <w:p>
      <w:pPr>
        <w:ind w:right="40"/>
        <w:spacing w:after="0" w:line="242" w:lineRule="auto"/>
        <w:rPr>
          <w:sz w:val="20"/>
          <w:szCs w:val="20"/>
          <w:color w:val="auto"/>
        </w:rPr>
      </w:pPr>
      <w:r>
        <w:rPr>
          <w:rFonts w:ascii="Times New Roman" w:cs="Times New Roman" w:eastAsia="Times New Roman" w:hAnsi="Times New Roman"/>
          <w:sz w:val="15"/>
          <w:szCs w:val="15"/>
          <w:color w:val="auto"/>
        </w:rPr>
        <w:t>Secured Note - Class ER2, 11.38% (SOFR + 7.05% due October 20, 2029)</w:t>
      </w:r>
    </w:p>
    <w:p>
      <w:pPr>
        <w:spacing w:after="0" w:line="17"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5"/>
          <w:szCs w:val="15"/>
          <w:color w:val="auto"/>
        </w:rPr>
        <w:t>Secured Note - Class DR, 11.17% (SOFR + 6.85% due April 15, 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-217805</wp:posOffset>
            </wp:positionV>
            <wp:extent cx="7012305" cy="2311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12305" cy="231140"/>
                    </a:xfrm>
                    <a:prstGeom prst="rect">
                      <a:avLst/>
                    </a:prstGeom>
                    <a:noFill/>
                  </pic:spPr>
                </pic:pic>
              </a:graphicData>
            </a:graphic>
          </wp:anchor>
        </w:drawing>
      </w:r>
    </w:p>
    <w:p>
      <w:pPr>
        <w:spacing w:after="0" w:line="242" w:lineRule="auto"/>
        <w:rPr>
          <w:sz w:val="20"/>
          <w:szCs w:val="20"/>
          <w:color w:val="auto"/>
        </w:rPr>
      </w:pPr>
      <w:r>
        <w:rPr>
          <w:rFonts w:ascii="Times New Roman" w:cs="Times New Roman" w:eastAsia="Times New Roman" w:hAnsi="Times New Roman"/>
          <w:sz w:val="15"/>
          <w:szCs w:val="15"/>
          <w:color w:val="auto"/>
        </w:rPr>
        <w:t>Secured Note - Class DRR, 10.64% (SOFR + 6.41% due May 13, 2028)</w:t>
      </w:r>
    </w:p>
    <w:p>
      <w:pPr>
        <w:spacing w:after="0" w:line="17"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5"/>
          <w:szCs w:val="15"/>
          <w:color w:val="auto"/>
        </w:rPr>
        <w:t>Secured Note - Class ERR, 13.24% (SOFR + 8.91% due October 20,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-217805</wp:posOffset>
            </wp:positionV>
            <wp:extent cx="7012305" cy="2317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12305" cy="231775"/>
                    </a:xfrm>
                    <a:prstGeom prst="rect">
                      <a:avLst/>
                    </a:prstGeom>
                    <a:noFill/>
                  </pic:spPr>
                </pic:pic>
              </a:graphicData>
            </a:graphic>
          </wp:anchor>
        </w:drawing>
      </w:r>
    </w:p>
    <w:p>
      <w:pPr>
        <w:ind w:right="40"/>
        <w:spacing w:after="0" w:line="242" w:lineRule="auto"/>
        <w:rPr>
          <w:sz w:val="20"/>
          <w:szCs w:val="20"/>
          <w:color w:val="auto"/>
        </w:rPr>
      </w:pPr>
      <w:r>
        <w:rPr>
          <w:rFonts w:ascii="Times New Roman" w:cs="Times New Roman" w:eastAsia="Times New Roman" w:hAnsi="Times New Roman"/>
          <w:sz w:val="15"/>
          <w:szCs w:val="15"/>
          <w:color w:val="auto"/>
        </w:rPr>
        <w:t>Secured Note - Class ER, 12.33% (SOFR + 8% due April 18, 2036)</w:t>
      </w:r>
    </w:p>
    <w:p>
      <w:pPr>
        <w:spacing w:after="0" w:line="17"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5"/>
          <w:szCs w:val="15"/>
          <w:color w:val="auto"/>
        </w:rPr>
        <w:t>Secured Note - Class E, 11.62% (SOFR + 7.3% due October 17, 2034)</w:t>
      </w:r>
    </w:p>
    <w:p>
      <w:pPr>
        <w:spacing w:after="0" w:line="17"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5"/>
          <w:szCs w:val="15"/>
          <w:color w:val="auto"/>
        </w:rPr>
        <w:t>Secured Note - Class ERR, 11.08% (SOFR + 6.76% due October 13,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-217805</wp:posOffset>
            </wp:positionV>
            <wp:extent cx="7012305" cy="2317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12305" cy="231775"/>
                    </a:xfrm>
                    <a:prstGeom prst="rect">
                      <a:avLst/>
                    </a:prstGeom>
                    <a:noFill/>
                  </pic:spPr>
                </pic:pic>
              </a:graphicData>
            </a:graphic>
          </wp:anchor>
        </w:drawing>
      </w:r>
    </w:p>
    <w:p>
      <w:pPr>
        <w:ind w:right="120"/>
        <w:spacing w:after="0" w:line="242" w:lineRule="auto"/>
        <w:rPr>
          <w:sz w:val="20"/>
          <w:szCs w:val="20"/>
          <w:color w:val="auto"/>
        </w:rPr>
      </w:pPr>
      <w:r>
        <w:rPr>
          <w:rFonts w:ascii="Times New Roman" w:cs="Times New Roman" w:eastAsia="Times New Roman" w:hAnsi="Times New Roman"/>
          <w:sz w:val="15"/>
          <w:szCs w:val="15"/>
          <w:color w:val="auto"/>
        </w:rPr>
        <w:t>Secured Note - Class ER, 11.33% (SOFR + 7.01% due October 15, 2034)</w:t>
      </w:r>
    </w:p>
    <w:p>
      <w:pPr>
        <w:spacing w:after="0" w:line="17"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5"/>
          <w:szCs w:val="15"/>
          <w:color w:val="auto"/>
        </w:rPr>
        <w:t>Secured Note - Class ER, 11.38% (SOFR + 7.06% due January 15,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-217805</wp:posOffset>
            </wp:positionV>
            <wp:extent cx="7012305" cy="2317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12305" cy="231775"/>
                    </a:xfrm>
                    <a:prstGeom prst="rect">
                      <a:avLst/>
                    </a:prstGeom>
                    <a:noFill/>
                  </pic:spPr>
                </pic:pic>
              </a:graphicData>
            </a:graphic>
          </wp:anchor>
        </w:drawing>
      </w:r>
    </w:p>
    <w:p>
      <w:pPr>
        <w:ind w:right="100"/>
        <w:spacing w:after="0" w:line="242" w:lineRule="auto"/>
        <w:rPr>
          <w:sz w:val="20"/>
          <w:szCs w:val="20"/>
          <w:color w:val="auto"/>
        </w:rPr>
      </w:pPr>
      <w:r>
        <w:rPr>
          <w:rFonts w:ascii="Times New Roman" w:cs="Times New Roman" w:eastAsia="Times New Roman" w:hAnsi="Times New Roman"/>
          <w:sz w:val="15"/>
          <w:szCs w:val="15"/>
          <w:color w:val="auto"/>
        </w:rPr>
        <w:t>Secured Note - Class DR, 12.21% (SOFR + 7.89% due January 15, 2035)</w:t>
      </w:r>
    </w:p>
    <w:p>
      <w:pPr>
        <w:spacing w:after="0" w:line="17"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15"/>
          <w:szCs w:val="15"/>
          <w:color w:val="auto"/>
        </w:rPr>
        <w:t>Secured Note - Class D, 11.64% (SOFR + 7.31% due July 20,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-217805</wp:posOffset>
            </wp:positionV>
            <wp:extent cx="7012305" cy="2317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12305" cy="231775"/>
                    </a:xfrm>
                    <a:prstGeom prst="rect">
                      <a:avLst/>
                    </a:prstGeom>
                    <a:noFill/>
                  </pic:spPr>
                </pic:pic>
              </a:graphicData>
            </a:graphic>
          </wp:anchor>
        </w:drawing>
      </w:r>
    </w:p>
    <w:p>
      <w:pPr>
        <w:ind w:right="100"/>
        <w:spacing w:after="0" w:line="242" w:lineRule="auto"/>
        <w:rPr>
          <w:sz w:val="20"/>
          <w:szCs w:val="20"/>
          <w:color w:val="auto"/>
        </w:rPr>
      </w:pPr>
      <w:r>
        <w:rPr>
          <w:rFonts w:ascii="Times New Roman" w:cs="Times New Roman" w:eastAsia="Times New Roman" w:hAnsi="Times New Roman"/>
          <w:sz w:val="15"/>
          <w:szCs w:val="15"/>
          <w:color w:val="auto"/>
        </w:rPr>
        <w:t>Secured Note - Class DR, 11.09% (SOFR + 6.76% due July 20, 2034)</w:t>
      </w:r>
    </w:p>
    <w:p>
      <w:pPr>
        <w:spacing w:after="0" w:line="17"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5"/>
          <w:szCs w:val="15"/>
          <w:color w:val="auto"/>
        </w:rPr>
        <w:t>Secured Note - Class DR2, 10.82% (SOFR + 6.75% due February 14, 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-217805</wp:posOffset>
            </wp:positionV>
            <wp:extent cx="7012305" cy="2317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12305" cy="231775"/>
                    </a:xfrm>
                    <a:prstGeom prst="rect">
                      <a:avLst/>
                    </a:prstGeom>
                    <a:noFill/>
                  </pic:spPr>
                </pic:pic>
              </a:graphicData>
            </a:graphic>
          </wp:anchor>
        </w:drawing>
      </w:r>
    </w:p>
    <w:p>
      <w:pPr>
        <w:ind w:right="220"/>
        <w:spacing w:after="0" w:line="242" w:lineRule="auto"/>
        <w:rPr>
          <w:sz w:val="20"/>
          <w:szCs w:val="20"/>
          <w:color w:val="auto"/>
        </w:rPr>
      </w:pPr>
      <w:r>
        <w:rPr>
          <w:rFonts w:ascii="Times New Roman" w:cs="Times New Roman" w:eastAsia="Times New Roman" w:hAnsi="Times New Roman"/>
          <w:sz w:val="15"/>
          <w:szCs w:val="15"/>
          <w:color w:val="auto"/>
        </w:rPr>
        <w:t>Secured Note - Class E, 11.59% (SOFR + 7.27% due July 15, 2034)</w:t>
      </w:r>
    </w:p>
    <w:p>
      <w:pPr>
        <w:spacing w:after="0" w:line="17"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5"/>
          <w:szCs w:val="15"/>
          <w:color w:val="auto"/>
        </w:rPr>
        <w:t>Secured Note - Class E, 9.5% (SOFR + 5.55% due October 25, 2038)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-217805</wp:posOffset>
            </wp:positionV>
            <wp:extent cx="7012305" cy="2311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12305" cy="231140"/>
                    </a:xfrm>
                    <a:prstGeom prst="rect">
                      <a:avLst/>
                    </a:prstGeom>
                    <a:noFill/>
                  </pic:spPr>
                </pic:pic>
              </a:graphicData>
            </a:graphic>
          </wp:anchor>
        </w:drawing>
      </w:r>
    </w:p>
    <w:p>
      <w:pPr>
        <w:ind w:right="240"/>
        <w:spacing w:after="0" w:line="242" w:lineRule="auto"/>
        <w:rPr>
          <w:sz w:val="20"/>
          <w:szCs w:val="20"/>
          <w:color w:val="auto"/>
        </w:rPr>
      </w:pPr>
      <w:r>
        <w:rPr>
          <w:rFonts w:ascii="Times New Roman" w:cs="Times New Roman" w:eastAsia="Times New Roman" w:hAnsi="Times New Roman"/>
          <w:sz w:val="15"/>
          <w:szCs w:val="15"/>
          <w:color w:val="auto"/>
        </w:rPr>
        <w:t>Secured Note - Class F, 12.09% (SOFR + 8.14% due October 25, 2038)</w:t>
      </w:r>
    </w:p>
    <w:p>
      <w:pPr>
        <w:spacing w:after="0" w:line="17"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5"/>
          <w:szCs w:val="15"/>
          <w:color w:val="auto"/>
        </w:rPr>
        <w:t>Secured Note - Class ER, 11.74% (SOFR + 7.42% due January 15, 2038)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-217805</wp:posOffset>
            </wp:positionV>
            <wp:extent cx="7012305" cy="2317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12305" cy="231775"/>
                    </a:xfrm>
                    <a:prstGeom prst="rect">
                      <a:avLst/>
                    </a:prstGeom>
                    <a:noFill/>
                  </pic:spPr>
                </pic:pic>
              </a:graphicData>
            </a:graphic>
          </wp:anchor>
        </w:drawing>
      </w:r>
    </w:p>
    <w:p>
      <w:pPr>
        <w:ind w:right="40"/>
        <w:spacing w:after="0" w:line="242" w:lineRule="auto"/>
        <w:rPr>
          <w:sz w:val="20"/>
          <w:szCs w:val="20"/>
          <w:color w:val="auto"/>
        </w:rPr>
      </w:pPr>
      <w:r>
        <w:rPr>
          <w:rFonts w:ascii="Times New Roman" w:cs="Times New Roman" w:eastAsia="Times New Roman" w:hAnsi="Times New Roman"/>
          <w:sz w:val="15"/>
          <w:szCs w:val="15"/>
          <w:color w:val="auto"/>
        </w:rPr>
        <w:t>Secured Note - Class ER3, 12.09% (SOFR + 7.76% due April 20, 2033)</w:t>
      </w:r>
    </w:p>
    <w:p>
      <w:pPr>
        <w:spacing w:after="0" w:line="17"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5"/>
          <w:szCs w:val="15"/>
          <w:color w:val="auto"/>
        </w:rPr>
        <w:t>Secured Note - Class ER2, 10.91% (SOFR + 6.59% due January 17,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-217805</wp:posOffset>
            </wp:positionV>
            <wp:extent cx="7012305" cy="2311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12305" cy="231140"/>
                    </a:xfrm>
                    <a:prstGeom prst="rect">
                      <a:avLst/>
                    </a:prstGeom>
                    <a:noFill/>
                  </pic:spPr>
                </pic:pic>
              </a:graphicData>
            </a:graphic>
          </wp:anchor>
        </w:drawing>
      </w:r>
    </w:p>
    <w:p>
      <w:pPr>
        <w:ind w:right="120"/>
        <w:spacing w:after="0" w:line="242" w:lineRule="auto"/>
        <w:rPr>
          <w:sz w:val="20"/>
          <w:szCs w:val="20"/>
          <w:color w:val="auto"/>
        </w:rPr>
      </w:pPr>
      <w:r>
        <w:rPr>
          <w:rFonts w:ascii="Times New Roman" w:cs="Times New Roman" w:eastAsia="Times New Roman" w:hAnsi="Times New Roman"/>
          <w:sz w:val="15"/>
          <w:szCs w:val="15"/>
          <w:color w:val="auto"/>
        </w:rPr>
        <w:t>Secured Note - Class ER, 10.68% (SOFR + 6.36% due October 15, 2031)</w:t>
      </w:r>
    </w:p>
    <w:p>
      <w:pPr>
        <w:spacing w:after="0" w:line="17" w:lineRule="exact"/>
        <w:rPr>
          <w:sz w:val="20"/>
          <w:szCs w:val="20"/>
          <w:color w:val="auto"/>
        </w:rPr>
      </w:pPr>
    </w:p>
    <w:p>
      <w:pPr>
        <w:ind w:right="400"/>
        <w:spacing w:after="0" w:line="242" w:lineRule="auto"/>
        <w:rPr>
          <w:sz w:val="20"/>
          <w:szCs w:val="20"/>
          <w:color w:val="auto"/>
        </w:rPr>
      </w:pPr>
      <w:r>
        <w:rPr>
          <w:rFonts w:ascii="Times New Roman" w:cs="Times New Roman" w:eastAsia="Times New Roman" w:hAnsi="Times New Roman"/>
          <w:sz w:val="15"/>
          <w:szCs w:val="15"/>
          <w:color w:val="auto"/>
        </w:rPr>
        <w:t>Secured Note - Class E1R2, 10.77% (SOFR + 6.45% due April 15,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-217805</wp:posOffset>
            </wp:positionV>
            <wp:extent cx="7012305" cy="2317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12305" cy="231775"/>
                    </a:xfrm>
                    <a:prstGeom prst="rect">
                      <a:avLst/>
                    </a:prstGeom>
                    <a:noFill/>
                  </pic:spPr>
                </pic:pic>
              </a:graphicData>
            </a:graphic>
          </wp:anchor>
        </w:drawing>
      </w:r>
    </w:p>
    <w:p>
      <w:pPr>
        <w:ind w:right="120"/>
        <w:spacing w:after="0" w:line="242" w:lineRule="auto"/>
        <w:rPr>
          <w:sz w:val="20"/>
          <w:szCs w:val="20"/>
          <w:color w:val="auto"/>
        </w:rPr>
      </w:pPr>
      <w:r>
        <w:rPr>
          <w:rFonts w:ascii="Times New Roman" w:cs="Times New Roman" w:eastAsia="Times New Roman" w:hAnsi="Times New Roman"/>
          <w:sz w:val="15"/>
          <w:szCs w:val="15"/>
          <w:color w:val="auto"/>
        </w:rPr>
        <w:t>Secured Note - Class FR, 13.48% (SOFR + 9.15% due October 20, 2034)</w:t>
      </w:r>
    </w:p>
    <w:p>
      <w:pPr>
        <w:spacing w:after="0" w:line="17" w:lineRule="exact"/>
        <w:rPr>
          <w:sz w:val="20"/>
          <w:szCs w:val="20"/>
          <w:color w:val="auto"/>
        </w:rPr>
      </w:pPr>
    </w:p>
    <w:p>
      <w:pPr>
        <w:ind w:right="220"/>
        <w:spacing w:after="0" w:line="242" w:lineRule="auto"/>
        <w:rPr>
          <w:sz w:val="20"/>
          <w:szCs w:val="20"/>
          <w:color w:val="auto"/>
        </w:rPr>
      </w:pPr>
      <w:r>
        <w:rPr>
          <w:rFonts w:ascii="Times New Roman" w:cs="Times New Roman" w:eastAsia="Times New Roman" w:hAnsi="Times New Roman"/>
          <w:sz w:val="15"/>
          <w:szCs w:val="15"/>
          <w:color w:val="auto"/>
        </w:rPr>
        <w:t>Secured Note - Class E, 10.84% (SOFR + 6.51% due January 20,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-217805</wp:posOffset>
            </wp:positionV>
            <wp:extent cx="7012305" cy="2317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12305" cy="231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Acquisition</w:t>
            </w:r>
          </w:p>
        </w:tc>
        <w:tc>
          <w:tcPr>
            <w:tcW w:w="16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Principal</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 of Net</w:t>
            </w:r>
          </w:p>
        </w:tc>
      </w:tr>
      <w:tr>
        <w:trPr>
          <w:trHeight w:val="216"/>
        </w:trPr>
        <w:tc>
          <w:tcPr>
            <w:tcW w:w="1060" w:type="dxa"/>
            <w:vAlign w:val="bottom"/>
            <w:gridSpan w:val="2"/>
          </w:tcPr>
          <w:p>
            <w:pPr>
              <w:jc w:val="center"/>
              <w:ind w:right="80"/>
              <w:spacing w:after="0" w:line="216" w:lineRule="exact"/>
              <w:rPr>
                <w:sz w:val="20"/>
                <w:szCs w:val="20"/>
                <w:color w:val="auto"/>
              </w:rPr>
            </w:pPr>
            <w:r>
              <w:rPr>
                <w:rFonts w:ascii="Times New Roman" w:cs="Times New Roman" w:eastAsia="Times New Roman" w:hAnsi="Times New Roman"/>
                <w:sz w:val="15"/>
                <w:szCs w:val="15"/>
                <w:b w:val="1"/>
                <w:bCs w:val="1"/>
                <w:color w:val="auto"/>
                <w:w w:val="93"/>
              </w:rPr>
              <w:t>Date</w:t>
            </w:r>
            <w:r>
              <w:rPr>
                <w:rFonts w:ascii="Times New Roman" w:cs="Times New Roman" w:eastAsia="Times New Roman" w:hAnsi="Times New Roman"/>
                <w:sz w:val="19"/>
                <w:szCs w:val="19"/>
                <w:b w:val="1"/>
                <w:bCs w:val="1"/>
                <w:color w:val="auto"/>
                <w:w w:val="93"/>
                <w:vertAlign w:val="superscript"/>
              </w:rPr>
              <w:t>(2)</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Amount/Shares</w:t>
            </w:r>
          </w:p>
        </w:tc>
        <w:tc>
          <w:tcPr>
            <w:tcW w:w="180" w:type="dxa"/>
            <w:vAlign w:val="bottom"/>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Cost</w:t>
            </w:r>
          </w:p>
        </w:tc>
        <w:tc>
          <w:tcPr>
            <w:tcW w:w="98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15"/>
                <w:szCs w:val="15"/>
                <w:b w:val="1"/>
                <w:bCs w:val="1"/>
                <w:color w:val="auto"/>
              </w:rPr>
              <w:t>Fair Value</w:t>
            </w:r>
            <w:r>
              <w:rPr>
                <w:rFonts w:ascii="Times New Roman" w:cs="Times New Roman" w:eastAsia="Times New Roman" w:hAnsi="Times New Roman"/>
                <w:sz w:val="19"/>
                <w:szCs w:val="19"/>
                <w:b w:val="1"/>
                <w:bCs w:val="1"/>
                <w:color w:val="auto"/>
                <w:vertAlign w:val="superscript"/>
              </w:rPr>
              <w:t>(3)</w:t>
            </w:r>
          </w:p>
        </w:tc>
        <w:tc>
          <w:tcPr>
            <w:tcW w:w="880" w:type="dxa"/>
            <w:vAlign w:val="bottom"/>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Assets</w:t>
            </w:r>
          </w:p>
        </w:tc>
      </w:tr>
      <w:tr>
        <w:trPr>
          <w:trHeight w:val="350"/>
        </w:trPr>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09/09/25</w:t>
            </w:r>
          </w:p>
        </w:tc>
        <w:tc>
          <w:tcPr>
            <w:tcW w:w="80" w:type="dxa"/>
            <w:vAlign w:val="bottom"/>
          </w:tcPr>
          <w:p>
            <w:pPr>
              <w:spacing w:after="0"/>
              <w:rPr>
                <w:sz w:val="24"/>
                <w:szCs w:val="24"/>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1,250</w:t>
            </w:r>
          </w:p>
        </w:tc>
        <w:tc>
          <w:tcPr>
            <w:tcW w:w="100" w:type="dxa"/>
            <w:vAlign w:val="bottom"/>
          </w:tcPr>
          <w:p>
            <w:pPr>
              <w:spacing w:after="0"/>
              <w:rPr>
                <w:sz w:val="24"/>
                <w:szCs w:val="24"/>
                <w:color w:val="auto"/>
              </w:rPr>
            </w:pPr>
          </w:p>
        </w:tc>
        <w:tc>
          <w:tcPr>
            <w:tcW w:w="18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1,252</w:t>
            </w:r>
          </w:p>
        </w:tc>
        <w:tc>
          <w:tcPr>
            <w:tcW w:w="80" w:type="dxa"/>
            <w:vAlign w:val="bottom"/>
          </w:tcPr>
          <w:p>
            <w:pPr>
              <w:spacing w:after="0"/>
              <w:rPr>
                <w:sz w:val="24"/>
                <w:szCs w:val="24"/>
                <w:color w:val="auto"/>
              </w:rPr>
            </w:pPr>
          </w:p>
        </w:tc>
        <w:tc>
          <w:tcPr>
            <w:tcW w:w="30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1,251</w:t>
            </w:r>
          </w:p>
        </w:tc>
        <w:tc>
          <w:tcPr>
            <w:tcW w:w="80" w:type="dxa"/>
            <w:vAlign w:val="bottom"/>
          </w:tcPr>
          <w:p>
            <w:pPr>
              <w:spacing w:after="0"/>
              <w:rPr>
                <w:sz w:val="24"/>
                <w:szCs w:val="2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0.56 %</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05/22/24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3,561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3,854</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01/15/25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1,554</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0.69 %</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05/16/25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2,431</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1.08 %</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07/25/25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1,891</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0.84 %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05/14/24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4,022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3,961</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1.76 %</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06/25/25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2,512</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11/29/23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05/07/25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1,511</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0.67 %</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09/17/25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2,040</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0.91 %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02/20/25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1,127</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0.50 %</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07/15/25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8,690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8,551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8,690</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3.86 %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07/23/25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3,920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3,612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3,450</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07/18/25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1,402</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0.62 %</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09/11/25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1,479</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0.66 %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10/25/24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2,422</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06/30/25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988</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0.44 %</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09/24/25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1,670</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0.74 %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05/15/25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2,892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2,955</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08/21/25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1,750</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0.78 %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08/21/25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0.04 %</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11/22/24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1,924</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0.85 %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09/13/24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1,549</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0.69 %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10/24/24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1,865</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0.83 %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09/19/24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1,939</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0.86 %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11/25/24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1,001</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0.44 %</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03/28/24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326</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0.14 %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02/06/25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1,240</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0.55 %</w:t>
            </w:r>
          </w:p>
        </w:tc>
      </w:tr>
    </w:tbl>
    <w:p>
      <w:pPr>
        <w:spacing w:after="0" w:line="200" w:lineRule="exact"/>
        <w:rPr>
          <w:sz w:val="20"/>
          <w:szCs w:val="20"/>
          <w:color w:val="auto"/>
        </w:rPr>
      </w:pPr>
    </w:p>
    <w:p>
      <w:pPr>
        <w:sectPr>
          <w:pgSz w:w="11900" w:h="16838" w:orient="portrait"/>
          <w:cols w:equalWidth="0" w:num="3">
            <w:col w:w="2500" w:space="180"/>
            <w:col w:w="3220" w:space="100"/>
            <w:col w:w="5020"/>
          </w:cols>
          <w:pgMar w:left="440" w:top="968" w:right="439" w:bottom="1440" w:gutter="0" w:footer="0" w:header="0"/>
          <w:type w:val="continuous"/>
        </w:sect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968" w:right="439" w:bottom="1440" w:gutter="0" w:footer="0" w:header="0"/>
          <w:type w:val="continuous"/>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SCHEDULE OF INVESTMENTS</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0123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ectPr>
          <w:pgSz w:w="11900" w:h="16838" w:orient="portrait"/>
          <w:cols w:equalWidth="0" w:num="1">
            <w:col w:w="11020"/>
          </w:cols>
          <w:pgMar w:left="440" w:top="968" w:right="439" w:bottom="1440" w:gutter="0" w:footer="0" w:header="0"/>
        </w:sect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Issuer</w:t>
      </w:r>
      <w:r>
        <w:rPr>
          <w:rFonts w:ascii="Times New Roman" w:cs="Times New Roman" w:eastAsia="Times New Roman" w:hAnsi="Times New Roman"/>
          <w:sz w:val="19"/>
          <w:szCs w:val="1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-4445</wp:posOffset>
            </wp:positionV>
            <wp:extent cx="16459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Trinitas CLO IX Ltd (7)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Trinitas CLO Ltd (5)(7)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Trinitas CLO Ltd (5)(7)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Trinitas CLO VI Ltd (5)(7)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Trinitas CLO XII Ltd (5)(7)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Venture 36 CLO Ltd (5)(7)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Venture XV CLO Ltd (5)(6)(7)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Venture XVIII CLO Ltd (5)(6)(7)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Venture XXII CLO Ltd (5)(6)</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Venture XXVI CLO Ltd (5)(6)(7)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Venture XXVII CLO Ltd (5)(6)</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Venture XXX CLO Ltd (5)(6)(7)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Vibrant CLO III Ltd (5)(6)</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Wellfleet CLO 2019-1 Ltd (5)(6)(7)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Wellfleet CLO 2021-3 Ltd (5)(7)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WhiteHorse X Ltd (6)</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Wind River CLO Ltd (5)(7)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Zais CLO 13 Ltd (5)(7)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Zais CLO 3 Ltd (5)(6)(7)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Zais CLO 6 Ltd (5)(6)(7)</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Investment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24130</wp:posOffset>
            </wp:positionV>
            <wp:extent cx="2040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8"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5"/>
          <w:szCs w:val="15"/>
          <w:color w:val="auto"/>
        </w:rPr>
        <w:t>Secured Note - Class E, 10.84% (SOFR + 6.51% due January 20, 2032)</w:t>
      </w:r>
    </w:p>
    <w:p>
      <w:pPr>
        <w:spacing w:after="0" w:line="17"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5"/>
          <w:szCs w:val="15"/>
          <w:color w:val="auto"/>
        </w:rPr>
        <w:t>Secured Note - Class ER, 11.4% (SOFR + 7.08% due January 25, 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-217805</wp:posOffset>
            </wp:positionV>
            <wp:extent cx="7012305" cy="2311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12305" cy="231140"/>
                    </a:xfrm>
                    <a:prstGeom prst="rect">
                      <a:avLst/>
                    </a:prstGeom>
                    <a:noFill/>
                  </pic:spPr>
                </pic:pic>
              </a:graphicData>
            </a:graphic>
          </wp:anchor>
        </w:drawing>
      </w:r>
    </w:p>
    <w:p>
      <w:pPr>
        <w:ind w:right="180"/>
        <w:spacing w:after="0" w:line="242" w:lineRule="auto"/>
        <w:rPr>
          <w:sz w:val="20"/>
          <w:szCs w:val="20"/>
          <w:color w:val="auto"/>
        </w:rPr>
      </w:pPr>
      <w:r>
        <w:rPr>
          <w:rFonts w:ascii="Times New Roman" w:cs="Times New Roman" w:eastAsia="Times New Roman" w:hAnsi="Times New Roman"/>
          <w:sz w:val="15"/>
          <w:szCs w:val="15"/>
          <w:color w:val="auto"/>
        </w:rPr>
        <w:t>Secured Note - Class E, 11.59% (SOFR + 7.26% due July 20, 2034)</w:t>
      </w:r>
    </w:p>
    <w:p>
      <w:pPr>
        <w:spacing w:after="0" w:line="17"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15"/>
          <w:szCs w:val="15"/>
          <w:color w:val="auto"/>
        </w:rPr>
        <w:t>Secured Note - Class F, 13.29% (SOFR + 8.98% due January 25, 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-217805</wp:posOffset>
            </wp:positionV>
            <wp:extent cx="7012305" cy="2311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12305" cy="231140"/>
                    </a:xfrm>
                    <a:prstGeom prst="rect">
                      <a:avLst/>
                    </a:prstGeom>
                    <a:noFill/>
                  </pic:spPr>
                </pic:pic>
              </a:graphicData>
            </a:graphic>
          </wp:anchor>
        </w:drawing>
      </w:r>
    </w:p>
    <w:p>
      <w:pPr>
        <w:ind w:right="180"/>
        <w:spacing w:after="0" w:line="242" w:lineRule="auto"/>
        <w:rPr>
          <w:sz w:val="20"/>
          <w:szCs w:val="20"/>
          <w:color w:val="auto"/>
        </w:rPr>
      </w:pPr>
      <w:r>
        <w:rPr>
          <w:rFonts w:ascii="Times New Roman" w:cs="Times New Roman" w:eastAsia="Times New Roman" w:hAnsi="Times New Roman"/>
          <w:sz w:val="15"/>
          <w:szCs w:val="15"/>
          <w:color w:val="auto"/>
        </w:rPr>
        <w:t>Secured Note - Class E, 11.98% (SOFR + 7.66% due April 25, 2033)</w:t>
      </w:r>
    </w:p>
    <w:p>
      <w:pPr>
        <w:spacing w:after="0" w:line="17"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5"/>
          <w:szCs w:val="15"/>
          <w:color w:val="auto"/>
        </w:rPr>
        <w:t>Secured Note - Class E, 11.51% (SOFR + 7.18% due April 20,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-217805</wp:posOffset>
            </wp:positionV>
            <wp:extent cx="7012305" cy="2317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12305" cy="231775"/>
                    </a:xfrm>
                    <a:prstGeom prst="rect">
                      <a:avLst/>
                    </a:prstGeom>
                    <a:noFill/>
                  </pic:spPr>
                </pic:pic>
              </a:graphicData>
            </a:graphic>
          </wp:anchor>
        </w:drawing>
      </w:r>
    </w:p>
    <w:p>
      <w:pPr>
        <w:spacing w:after="0" w:line="242" w:lineRule="auto"/>
        <w:rPr>
          <w:sz w:val="20"/>
          <w:szCs w:val="20"/>
          <w:color w:val="auto"/>
        </w:rPr>
      </w:pPr>
      <w:r>
        <w:rPr>
          <w:rFonts w:ascii="Times New Roman" w:cs="Times New Roman" w:eastAsia="Times New Roman" w:hAnsi="Times New Roman"/>
          <w:sz w:val="15"/>
          <w:szCs w:val="15"/>
          <w:color w:val="auto"/>
        </w:rPr>
        <w:t>Secured Note - Class ER2, 11.77% (SOFR + 7.45% due July 15, 2032)</w:t>
      </w:r>
    </w:p>
    <w:p>
      <w:pPr>
        <w:spacing w:after="0" w:line="17"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5"/>
          <w:szCs w:val="15"/>
          <w:color w:val="auto"/>
        </w:rPr>
        <w:t>Secured Note - Class ER, 11.17% (SOFR + 6.85% due October 15,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-217805</wp:posOffset>
            </wp:positionV>
            <wp:extent cx="7012305" cy="2311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12305" cy="231140"/>
                    </a:xfrm>
                    <a:prstGeom prst="rect">
                      <a:avLst/>
                    </a:prstGeom>
                    <a:noFill/>
                  </pic:spPr>
                </pic:pic>
              </a:graphicData>
            </a:graphic>
          </wp:anchor>
        </w:drawing>
      </w:r>
    </w:p>
    <w:p>
      <w:pPr>
        <w:ind w:right="60"/>
        <w:spacing w:after="0" w:line="242" w:lineRule="auto"/>
        <w:rPr>
          <w:sz w:val="20"/>
          <w:szCs w:val="20"/>
          <w:color w:val="auto"/>
        </w:rPr>
      </w:pPr>
      <w:r>
        <w:rPr>
          <w:rFonts w:ascii="Times New Roman" w:cs="Times New Roman" w:eastAsia="Times New Roman" w:hAnsi="Times New Roman"/>
          <w:sz w:val="15"/>
          <w:szCs w:val="15"/>
          <w:color w:val="auto"/>
        </w:rPr>
        <w:t>Secured Note - Class ER, 10.23% (SOFR + 5.91% due January 15, 2031)</w:t>
      </w:r>
    </w:p>
    <w:p>
      <w:pPr>
        <w:spacing w:after="0" w:line="17"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5"/>
          <w:szCs w:val="15"/>
          <w:color w:val="auto"/>
        </w:rPr>
        <w:t>Secured Note - Class E, 11.39% (SOFR + 7.06% due January 20,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-217805</wp:posOffset>
            </wp:positionV>
            <wp:extent cx="7012305" cy="2311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12305" cy="231140"/>
                    </a:xfrm>
                    <a:prstGeom prst="rect">
                      <a:avLst/>
                    </a:prstGeom>
                    <a:noFill/>
                  </pic:spPr>
                </pic:pic>
              </a:graphicData>
            </a:graphic>
          </wp:anchor>
        </w:drawing>
      </w:r>
    </w:p>
    <w:p>
      <w:pPr>
        <w:ind w:right="180"/>
        <w:spacing w:after="0" w:line="242" w:lineRule="auto"/>
        <w:rPr>
          <w:sz w:val="20"/>
          <w:szCs w:val="20"/>
          <w:color w:val="auto"/>
        </w:rPr>
      </w:pPr>
      <w:r>
        <w:rPr>
          <w:rFonts w:ascii="Times New Roman" w:cs="Times New Roman" w:eastAsia="Times New Roman" w:hAnsi="Times New Roman"/>
          <w:sz w:val="15"/>
          <w:szCs w:val="15"/>
          <w:color w:val="auto"/>
        </w:rPr>
        <w:t>Secured Note - Class E, 10.94% (SOFR + 6.61% due July 20, 2030)</w:t>
      </w:r>
    </w:p>
    <w:p>
      <w:pPr>
        <w:spacing w:after="0" w:line="17"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5"/>
          <w:szCs w:val="15"/>
          <w:color w:val="auto"/>
        </w:rPr>
        <w:t>Secured Note - Class E, 10.88% (SOFR + 6.56% due January 15,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-217805</wp:posOffset>
            </wp:positionV>
            <wp:extent cx="7012305" cy="2317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12305" cy="231775"/>
                    </a:xfrm>
                    <a:prstGeom prst="rect">
                      <a:avLst/>
                    </a:prstGeom>
                    <a:noFill/>
                  </pic:spPr>
                </pic:pic>
              </a:graphicData>
            </a:graphic>
          </wp:anchor>
        </w:drawing>
      </w:r>
    </w:p>
    <w:p>
      <w:pPr>
        <w:ind w:right="380"/>
        <w:spacing w:after="0" w:line="242" w:lineRule="auto"/>
        <w:rPr>
          <w:sz w:val="20"/>
          <w:szCs w:val="20"/>
          <w:color w:val="auto"/>
        </w:rPr>
      </w:pPr>
      <w:r>
        <w:rPr>
          <w:rFonts w:ascii="Times New Roman" w:cs="Times New Roman" w:eastAsia="Times New Roman" w:hAnsi="Times New Roman"/>
          <w:sz w:val="15"/>
          <w:szCs w:val="15"/>
          <w:color w:val="auto"/>
        </w:rPr>
        <w:t>Secured Note - Class DRR, 10.94% (SOFR + 6.61% due October 20, 2031)</w:t>
      </w:r>
    </w:p>
    <w:p>
      <w:pPr>
        <w:spacing w:after="0" w:line="17"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5"/>
          <w:szCs w:val="15"/>
          <w:color w:val="auto"/>
        </w:rPr>
        <w:t>Secured Note - Class D, 11.49% (SOFR + 7.16% due July 20,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-217805</wp:posOffset>
            </wp:positionV>
            <wp:extent cx="7012305" cy="2317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12305" cy="231775"/>
                    </a:xfrm>
                    <a:prstGeom prst="rect">
                      <a:avLst/>
                    </a:prstGeom>
                    <a:noFill/>
                  </pic:spPr>
                </pic:pic>
              </a:graphicData>
            </a:graphic>
          </wp:anchor>
        </w:drawing>
      </w:r>
    </w:p>
    <w:p>
      <w:pPr>
        <w:ind w:right="180"/>
        <w:spacing w:after="0" w:line="242" w:lineRule="auto"/>
        <w:rPr>
          <w:sz w:val="20"/>
          <w:szCs w:val="20"/>
          <w:color w:val="auto"/>
        </w:rPr>
      </w:pPr>
      <w:r>
        <w:rPr>
          <w:rFonts w:ascii="Times New Roman" w:cs="Times New Roman" w:eastAsia="Times New Roman" w:hAnsi="Times New Roman"/>
          <w:sz w:val="15"/>
          <w:szCs w:val="15"/>
          <w:color w:val="auto"/>
        </w:rPr>
        <w:t>Secured Note - Class E, 11.68% (SOFR + 7.36% due January 15, 2035)</w:t>
      </w:r>
    </w:p>
    <w:p>
      <w:pPr>
        <w:spacing w:after="0" w:line="17"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15"/>
          <w:szCs w:val="15"/>
          <w:color w:val="auto"/>
        </w:rPr>
        <w:t>Secured Note - Class F, 10.83% (SOFR + 6.51% due April 17,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-217805</wp:posOffset>
            </wp:positionV>
            <wp:extent cx="7012305" cy="2317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12305" cy="231775"/>
                    </a:xfrm>
                    <a:prstGeom prst="rect">
                      <a:avLst/>
                    </a:prstGeom>
                    <a:noFill/>
                  </pic:spPr>
                </pic:pic>
              </a:graphicData>
            </a:graphic>
          </wp:anchor>
        </w:drawing>
      </w:r>
    </w:p>
    <w:p>
      <w:pPr>
        <w:ind w:right="180"/>
        <w:spacing w:after="0" w:line="242" w:lineRule="auto"/>
        <w:rPr>
          <w:sz w:val="20"/>
          <w:szCs w:val="20"/>
          <w:color w:val="auto"/>
        </w:rPr>
      </w:pPr>
      <w:r>
        <w:rPr>
          <w:rFonts w:ascii="Times New Roman" w:cs="Times New Roman" w:eastAsia="Times New Roman" w:hAnsi="Times New Roman"/>
          <w:sz w:val="15"/>
          <w:szCs w:val="15"/>
          <w:color w:val="auto"/>
        </w:rPr>
        <w:t>Secured Note - Class E, 12.45% (SOFR + 8.12% due July 20, 2035)</w:t>
      </w:r>
    </w:p>
    <w:p>
      <w:pPr>
        <w:spacing w:after="0" w:line="17"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5"/>
          <w:szCs w:val="15"/>
          <w:color w:val="auto"/>
        </w:rPr>
        <w:t>Secured Note - Class E, 13.23% (SOFR + 8.91% due July 15,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-217805</wp:posOffset>
            </wp:positionV>
            <wp:extent cx="7012305" cy="2317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12305" cy="231775"/>
                    </a:xfrm>
                    <a:prstGeom prst="rect">
                      <a:avLst/>
                    </a:prstGeom>
                    <a:noFill/>
                  </pic:spPr>
                </pic:pic>
              </a:graphicData>
            </a:graphic>
          </wp:anchor>
        </w:drawing>
      </w:r>
    </w:p>
    <w:p>
      <w:pPr>
        <w:ind w:right="60"/>
        <w:spacing w:after="0" w:line="242" w:lineRule="auto"/>
        <w:rPr>
          <w:sz w:val="20"/>
          <w:szCs w:val="20"/>
          <w:color w:val="auto"/>
        </w:rPr>
      </w:pPr>
      <w:r>
        <w:rPr>
          <w:rFonts w:ascii="Times New Roman" w:cs="Times New Roman" w:eastAsia="Times New Roman" w:hAnsi="Times New Roman"/>
          <w:sz w:val="15"/>
          <w:szCs w:val="15"/>
          <w:color w:val="auto"/>
        </w:rPr>
        <w:t>Secured Note - Class DR, 11.49% (SOFR + 7.17% due July 15, 2031)</w:t>
      </w:r>
    </w:p>
    <w:p>
      <w:pPr>
        <w:spacing w:after="0" w:line="17"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5"/>
          <w:szCs w:val="15"/>
          <w:color w:val="auto"/>
        </w:rPr>
        <w:t>Secured Note - Class E, 11.58% (SOFR + 7.26% due July 15,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-217805</wp:posOffset>
            </wp:positionV>
            <wp:extent cx="7012305" cy="2317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12305" cy="231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Acquisition</w:t>
            </w:r>
          </w:p>
        </w:tc>
        <w:tc>
          <w:tcPr>
            <w:tcW w:w="16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Principal</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 of Net</w:t>
            </w:r>
          </w:p>
        </w:tc>
        <w:tc>
          <w:tcPr>
            <w:tcW w:w="140" w:type="dxa"/>
            <w:vAlign w:val="bottom"/>
          </w:tcPr>
          <w:p>
            <w:pPr>
              <w:spacing w:after="0"/>
              <w:rPr>
                <w:sz w:val="15"/>
                <w:szCs w:val="15"/>
                <w:color w:val="auto"/>
              </w:rPr>
            </w:pPr>
          </w:p>
        </w:tc>
      </w:tr>
      <w:tr>
        <w:trPr>
          <w:trHeight w:val="216"/>
        </w:trPr>
        <w:tc>
          <w:tcPr>
            <w:tcW w:w="1060" w:type="dxa"/>
            <w:vAlign w:val="bottom"/>
            <w:gridSpan w:val="2"/>
          </w:tcPr>
          <w:p>
            <w:pPr>
              <w:jc w:val="center"/>
              <w:ind w:right="80"/>
              <w:spacing w:after="0" w:line="216" w:lineRule="exact"/>
              <w:rPr>
                <w:sz w:val="20"/>
                <w:szCs w:val="20"/>
                <w:color w:val="auto"/>
              </w:rPr>
            </w:pPr>
            <w:r>
              <w:rPr>
                <w:rFonts w:ascii="Times New Roman" w:cs="Times New Roman" w:eastAsia="Times New Roman" w:hAnsi="Times New Roman"/>
                <w:sz w:val="15"/>
                <w:szCs w:val="15"/>
                <w:b w:val="1"/>
                <w:bCs w:val="1"/>
                <w:color w:val="auto"/>
                <w:w w:val="93"/>
              </w:rPr>
              <w:t>Date</w:t>
            </w:r>
            <w:r>
              <w:rPr>
                <w:rFonts w:ascii="Times New Roman" w:cs="Times New Roman" w:eastAsia="Times New Roman" w:hAnsi="Times New Roman"/>
                <w:sz w:val="19"/>
                <w:szCs w:val="19"/>
                <w:b w:val="1"/>
                <w:bCs w:val="1"/>
                <w:color w:val="auto"/>
                <w:w w:val="93"/>
                <w:vertAlign w:val="superscript"/>
              </w:rPr>
              <w:t>(2)</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Amount/Shares</w:t>
            </w:r>
          </w:p>
        </w:tc>
        <w:tc>
          <w:tcPr>
            <w:tcW w:w="200" w:type="dxa"/>
            <w:vAlign w:val="bottom"/>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Cost</w:t>
            </w:r>
          </w:p>
        </w:tc>
        <w:tc>
          <w:tcPr>
            <w:tcW w:w="98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15"/>
                <w:szCs w:val="15"/>
                <w:b w:val="1"/>
                <w:bCs w:val="1"/>
                <w:color w:val="auto"/>
              </w:rPr>
              <w:t>Fair Value</w:t>
            </w:r>
            <w:r>
              <w:rPr>
                <w:rFonts w:ascii="Times New Roman" w:cs="Times New Roman" w:eastAsia="Times New Roman" w:hAnsi="Times New Roman"/>
                <w:sz w:val="19"/>
                <w:szCs w:val="19"/>
                <w:b w:val="1"/>
                <w:bCs w:val="1"/>
                <w:color w:val="auto"/>
                <w:vertAlign w:val="superscript"/>
              </w:rPr>
              <w:t>(3)</w:t>
            </w: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40" w:type="dxa"/>
            <w:vAlign w:val="bottom"/>
          </w:tcPr>
          <w:p>
            <w:pPr>
              <w:spacing w:after="0"/>
              <w:rPr>
                <w:sz w:val="18"/>
                <w:szCs w:val="18"/>
                <w:color w:val="auto"/>
              </w:rPr>
            </w:pPr>
          </w:p>
        </w:tc>
      </w:tr>
      <w:tr>
        <w:trPr>
          <w:trHeight w:val="350"/>
        </w:trPr>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01/17/24</w:t>
            </w:r>
          </w:p>
        </w:tc>
        <w:tc>
          <w:tcPr>
            <w:tcW w:w="80" w:type="dxa"/>
            <w:vAlign w:val="bottom"/>
          </w:tcPr>
          <w:p>
            <w:pPr>
              <w:spacing w:after="0"/>
              <w:rPr>
                <w:sz w:val="24"/>
                <w:szCs w:val="24"/>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2,250</w:t>
            </w:r>
          </w:p>
        </w:tc>
        <w:tc>
          <w:tcPr>
            <w:tcW w:w="80" w:type="dxa"/>
            <w:vAlign w:val="bottom"/>
          </w:tcPr>
          <w:p>
            <w:pPr>
              <w:spacing w:after="0"/>
              <w:rPr>
                <w:sz w:val="24"/>
                <w:szCs w:val="24"/>
                <w:color w:val="auto"/>
              </w:rPr>
            </w:pPr>
          </w:p>
        </w:tc>
        <w:tc>
          <w:tcPr>
            <w:tcW w:w="20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1,954</w:t>
            </w:r>
          </w:p>
        </w:tc>
        <w:tc>
          <w:tcPr>
            <w:tcW w:w="80" w:type="dxa"/>
            <w:vAlign w:val="bottom"/>
          </w:tcPr>
          <w:p>
            <w:pPr>
              <w:spacing w:after="0"/>
              <w:rPr>
                <w:sz w:val="24"/>
                <w:szCs w:val="24"/>
                <w:color w:val="auto"/>
              </w:rPr>
            </w:pPr>
          </w:p>
        </w:tc>
        <w:tc>
          <w:tcPr>
            <w:tcW w:w="30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2,098</w:t>
            </w:r>
          </w:p>
        </w:tc>
        <w:tc>
          <w:tcPr>
            <w:tcW w:w="80" w:type="dxa"/>
            <w:vAlign w:val="bottom"/>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0.93</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07/16/25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951</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0.42</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09/16/25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1,357</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0.60</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04/04/24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1,284</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0.57</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12/11/24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1,879</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0.83</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05/12/25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1,934</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0.86</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04/02/24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818</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0.36</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03/28/24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1,142</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0.51</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04/30/24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0.12</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12/17/24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1,573</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0.70</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06/20/24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0.10</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07/24/24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632</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0.28</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08/29/24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0.10</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11/29/23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1,160</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0.52</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06/10/25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1,199</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0.53</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01/23/24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08/21/25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2,456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2,445</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01/08/25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6,520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6,095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6,170</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05/30/25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644</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0.29</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12/18/24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2,263</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bl>
    <w:p>
      <w:pPr>
        <w:spacing w:after="0" w:line="1" w:lineRule="exact"/>
        <w:rPr>
          <w:sz w:val="20"/>
          <w:szCs w:val="20"/>
          <w:color w:val="auto"/>
        </w:rPr>
      </w:pPr>
    </w:p>
    <w:p>
      <w:pPr>
        <w:sectPr>
          <w:pgSz w:w="11900" w:h="16838" w:orient="portrait"/>
          <w:cols w:equalWidth="0" w:num="3">
            <w:col w:w="2520" w:space="160"/>
            <w:col w:w="3160" w:space="100"/>
            <w:col w:w="5080"/>
          </w:cols>
          <w:pgMar w:left="440" w:top="968" w:right="43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Total Collateralized Loan Obligations—Debt, United States</w:t>
      </w:r>
    </w:p>
    <w:p>
      <w:pPr>
        <w:spacing w:after="0" w:line="30" w:lineRule="exact"/>
        <w:rPr>
          <w:sz w:val="20"/>
          <w:szCs w:val="20"/>
          <w:color w:val="auto"/>
        </w:rPr>
      </w:pPr>
    </w:p>
    <w:tbl>
      <w:tblPr>
        <w:tblLayout w:type="fixed"/>
        <w:tblInd w:w="100" w:type="dxa"/>
        <w:tblCellMar>
          <w:top w:w="0" w:type="dxa"/>
          <w:left w:w="0" w:type="dxa"/>
          <w:bottom w:w="0" w:type="dxa"/>
          <w:right w:w="0" w:type="dxa"/>
        </w:tblCellMar>
      </w:tblPr>
      <w:tr>
        <w:trPr>
          <w:trHeight w:val="202"/>
        </w:trPr>
        <w:tc>
          <w:tcPr>
            <w:tcW w:w="25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European Union—Various</w:t>
            </w:r>
          </w:p>
        </w:tc>
        <w:tc>
          <w:tcPr>
            <w:tcW w:w="3060" w:type="dxa"/>
            <w:vAlign w:val="bottom"/>
          </w:tcPr>
          <w:p>
            <w:pPr>
              <w:spacing w:after="0"/>
              <w:rPr>
                <w:sz w:val="17"/>
                <w:szCs w:val="17"/>
                <w:color w:val="auto"/>
              </w:rPr>
            </w:pPr>
          </w:p>
        </w:tc>
      </w:tr>
      <w:tr>
        <w:trPr>
          <w:trHeight w:val="203"/>
        </w:trPr>
        <w:tc>
          <w:tcPr>
            <w:tcW w:w="250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Structured Finance</w:t>
            </w:r>
          </w:p>
        </w:tc>
        <w:tc>
          <w:tcPr>
            <w:tcW w:w="3060" w:type="dxa"/>
            <w:vAlign w:val="bottom"/>
          </w:tcPr>
          <w:p>
            <w:pPr>
              <w:spacing w:after="0"/>
              <w:rPr>
                <w:sz w:val="17"/>
                <w:szCs w:val="17"/>
                <w:color w:val="auto"/>
              </w:rPr>
            </w:pPr>
          </w:p>
        </w:tc>
      </w:tr>
      <w:tr>
        <w:trPr>
          <w:trHeight w:val="157"/>
        </w:trPr>
        <w:tc>
          <w:tcPr>
            <w:tcW w:w="2500" w:type="dxa"/>
            <w:vAlign w:val="bottom"/>
          </w:tcPr>
          <w:p>
            <w:pPr>
              <w:spacing w:after="0"/>
              <w:rPr>
                <w:sz w:val="13"/>
                <w:szCs w:val="13"/>
                <w:color w:val="auto"/>
              </w:rPr>
            </w:pPr>
          </w:p>
        </w:tc>
        <w:tc>
          <w:tcPr>
            <w:tcW w:w="3060" w:type="dxa"/>
            <w:vAlign w:val="bottom"/>
          </w:tcPr>
          <w:p>
            <w:pPr>
              <w:ind w:left="80"/>
              <w:spacing w:after="0" w:line="156" w:lineRule="exact"/>
              <w:rPr>
                <w:sz w:val="20"/>
                <w:szCs w:val="20"/>
                <w:color w:val="auto"/>
              </w:rPr>
            </w:pPr>
            <w:r>
              <w:rPr>
                <w:rFonts w:ascii="Times New Roman" w:cs="Times New Roman" w:eastAsia="Times New Roman" w:hAnsi="Times New Roman"/>
                <w:sz w:val="15"/>
                <w:szCs w:val="15"/>
                <w:color w:val="auto"/>
              </w:rPr>
              <w:t>Secured Note - Class FR, 10.39% (EURIBOR +</w:t>
            </w:r>
          </w:p>
        </w:tc>
      </w:tr>
      <w:tr>
        <w:trPr>
          <w:trHeight w:val="208"/>
        </w:trPr>
        <w:tc>
          <w:tcPr>
            <w:tcW w:w="25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Aqueduct European CLO (7)</w:t>
            </w:r>
          </w:p>
        </w:tc>
        <w:tc>
          <w:tcPr>
            <w:tcW w:w="30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8.41% due August 15, 2037)</w:t>
            </w:r>
          </w:p>
        </w:tc>
      </w:tr>
      <w:tr>
        <w:trPr>
          <w:trHeight w:val="157"/>
        </w:trPr>
        <w:tc>
          <w:tcPr>
            <w:tcW w:w="2500" w:type="dxa"/>
            <w:vAlign w:val="bottom"/>
          </w:tcPr>
          <w:p>
            <w:pPr>
              <w:ind w:left="220"/>
              <w:spacing w:after="0" w:line="156" w:lineRule="exact"/>
              <w:rPr>
                <w:sz w:val="20"/>
                <w:szCs w:val="20"/>
                <w:color w:val="auto"/>
              </w:rPr>
            </w:pPr>
            <w:r>
              <w:rPr>
                <w:rFonts w:ascii="Times New Roman" w:cs="Times New Roman" w:eastAsia="Times New Roman" w:hAnsi="Times New Roman"/>
                <w:sz w:val="15"/>
                <w:szCs w:val="15"/>
                <w:color w:val="auto"/>
              </w:rPr>
              <w:t>Carlyle Global Market Strategies</w:t>
            </w:r>
          </w:p>
        </w:tc>
        <w:tc>
          <w:tcPr>
            <w:tcW w:w="3060" w:type="dxa"/>
            <w:vAlign w:val="bottom"/>
          </w:tcPr>
          <w:p>
            <w:pPr>
              <w:ind w:left="80"/>
              <w:spacing w:after="0" w:line="156" w:lineRule="exact"/>
              <w:rPr>
                <w:sz w:val="20"/>
                <w:szCs w:val="20"/>
                <w:color w:val="auto"/>
              </w:rPr>
            </w:pPr>
            <w:r>
              <w:rPr>
                <w:rFonts w:ascii="Times New Roman" w:cs="Times New Roman" w:eastAsia="Times New Roman" w:hAnsi="Times New Roman"/>
                <w:sz w:val="15"/>
                <w:szCs w:val="15"/>
                <w:color w:val="auto"/>
              </w:rPr>
              <w:t>Secured Note - Class DRR, 7.74% (EURIBOR +</w:t>
            </w:r>
          </w:p>
        </w:tc>
      </w:tr>
      <w:tr>
        <w:trPr>
          <w:trHeight w:val="198"/>
        </w:trPr>
        <w:tc>
          <w:tcPr>
            <w:tcW w:w="25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Euro CLO 2014-2 Ltd (7)</w:t>
            </w:r>
          </w:p>
        </w:tc>
        <w:tc>
          <w:tcPr>
            <w:tcW w:w="30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5.7% due November 17, 2031)</w:t>
            </w:r>
          </w:p>
        </w:tc>
      </w:tr>
      <w:tr>
        <w:trPr>
          <w:trHeight w:val="166"/>
        </w:trPr>
        <w:tc>
          <w:tcPr>
            <w:tcW w:w="2500" w:type="dxa"/>
            <w:vAlign w:val="bottom"/>
          </w:tcPr>
          <w:p>
            <w:pPr>
              <w:spacing w:after="0"/>
              <w:rPr>
                <w:sz w:val="14"/>
                <w:szCs w:val="14"/>
                <w:color w:val="auto"/>
              </w:rPr>
            </w:pPr>
          </w:p>
        </w:tc>
        <w:tc>
          <w:tcPr>
            <w:tcW w:w="3060" w:type="dxa"/>
            <w:vAlign w:val="bottom"/>
          </w:tcPr>
          <w:p>
            <w:pPr>
              <w:ind w:left="80"/>
              <w:spacing w:after="0" w:line="167" w:lineRule="exact"/>
              <w:rPr>
                <w:sz w:val="20"/>
                <w:szCs w:val="20"/>
                <w:color w:val="auto"/>
              </w:rPr>
            </w:pPr>
            <w:r>
              <w:rPr>
                <w:rFonts w:ascii="Times New Roman" w:cs="Times New Roman" w:eastAsia="Times New Roman" w:hAnsi="Times New Roman"/>
                <w:sz w:val="15"/>
                <w:szCs w:val="15"/>
                <w:color w:val="auto"/>
              </w:rPr>
              <w:t>Secured Note - Class E, 10.34% (EURIBOR +</w:t>
            </w:r>
          </w:p>
        </w:tc>
      </w:tr>
      <w:tr>
        <w:trPr>
          <w:trHeight w:val="208"/>
        </w:trPr>
        <w:tc>
          <w:tcPr>
            <w:tcW w:w="25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Carysfort Park CLO DAC (7)</w:t>
            </w:r>
          </w:p>
        </w:tc>
        <w:tc>
          <w:tcPr>
            <w:tcW w:w="30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8.39% due July 28, 2034)</w:t>
            </w:r>
          </w:p>
        </w:tc>
      </w:tr>
      <w:tr>
        <w:trPr>
          <w:trHeight w:val="157"/>
        </w:trPr>
        <w:tc>
          <w:tcPr>
            <w:tcW w:w="2500" w:type="dxa"/>
            <w:vAlign w:val="bottom"/>
          </w:tcPr>
          <w:p>
            <w:pPr>
              <w:ind w:left="220"/>
              <w:spacing w:after="0" w:line="156" w:lineRule="exact"/>
              <w:rPr>
                <w:sz w:val="20"/>
                <w:szCs w:val="20"/>
                <w:color w:val="auto"/>
              </w:rPr>
            </w:pPr>
            <w:r>
              <w:rPr>
                <w:rFonts w:ascii="Times New Roman" w:cs="Times New Roman" w:eastAsia="Times New Roman" w:hAnsi="Times New Roman"/>
                <w:sz w:val="15"/>
                <w:szCs w:val="15"/>
                <w:color w:val="auto"/>
              </w:rPr>
              <w:t>Dryden 32 Euro CLO 2014 B.V. (6)</w:t>
            </w:r>
          </w:p>
        </w:tc>
        <w:tc>
          <w:tcPr>
            <w:tcW w:w="3060" w:type="dxa"/>
            <w:vAlign w:val="bottom"/>
          </w:tcPr>
          <w:p>
            <w:pPr>
              <w:ind w:left="80"/>
              <w:spacing w:after="0" w:line="156" w:lineRule="exact"/>
              <w:rPr>
                <w:sz w:val="20"/>
                <w:szCs w:val="20"/>
                <w:color w:val="auto"/>
              </w:rPr>
            </w:pPr>
            <w:r>
              <w:rPr>
                <w:rFonts w:ascii="Times New Roman" w:cs="Times New Roman" w:eastAsia="Times New Roman" w:hAnsi="Times New Roman"/>
                <w:sz w:val="15"/>
                <w:szCs w:val="15"/>
                <w:color w:val="auto"/>
              </w:rPr>
              <w:t>Secured Note - Class FRR, 9.31% (EURIBOR +</w:t>
            </w:r>
          </w:p>
        </w:tc>
      </w:tr>
      <w:tr>
        <w:trPr>
          <w:trHeight w:val="198"/>
        </w:trPr>
        <w:tc>
          <w:tcPr>
            <w:tcW w:w="25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(7)</w:t>
            </w:r>
          </w:p>
        </w:tc>
        <w:tc>
          <w:tcPr>
            <w:tcW w:w="30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7.27% due August 15, 2031)</w:t>
            </w:r>
          </w:p>
        </w:tc>
      </w:tr>
      <w:tr>
        <w:trPr>
          <w:trHeight w:val="166"/>
        </w:trPr>
        <w:tc>
          <w:tcPr>
            <w:tcW w:w="2500" w:type="dxa"/>
            <w:vAlign w:val="bottom"/>
          </w:tcPr>
          <w:p>
            <w:pPr>
              <w:spacing w:after="0"/>
              <w:rPr>
                <w:sz w:val="14"/>
                <w:szCs w:val="14"/>
                <w:color w:val="auto"/>
              </w:rPr>
            </w:pPr>
          </w:p>
        </w:tc>
        <w:tc>
          <w:tcPr>
            <w:tcW w:w="3060" w:type="dxa"/>
            <w:vAlign w:val="bottom"/>
          </w:tcPr>
          <w:p>
            <w:pPr>
              <w:ind w:left="80"/>
              <w:spacing w:after="0" w:line="167" w:lineRule="exact"/>
              <w:rPr>
                <w:sz w:val="20"/>
                <w:szCs w:val="20"/>
                <w:color w:val="auto"/>
              </w:rPr>
            </w:pPr>
            <w:r>
              <w:rPr>
                <w:rFonts w:ascii="Times New Roman" w:cs="Times New Roman" w:eastAsia="Times New Roman" w:hAnsi="Times New Roman"/>
                <w:sz w:val="15"/>
                <w:szCs w:val="15"/>
                <w:color w:val="auto"/>
              </w:rPr>
              <w:t>Secured Note - Class E, 8.85% (EURIBOR +</w:t>
            </w:r>
          </w:p>
        </w:tc>
      </w:tr>
      <w:tr>
        <w:trPr>
          <w:trHeight w:val="208"/>
        </w:trPr>
        <w:tc>
          <w:tcPr>
            <w:tcW w:w="25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Dryden Euro CLO (7)</w:t>
            </w:r>
          </w:p>
        </w:tc>
        <w:tc>
          <w:tcPr>
            <w:tcW w:w="30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6.82% due January 15, 2034)</w:t>
            </w:r>
          </w:p>
        </w:tc>
      </w:tr>
      <w:tr>
        <w:trPr>
          <w:trHeight w:val="156"/>
        </w:trPr>
        <w:tc>
          <w:tcPr>
            <w:tcW w:w="2500" w:type="dxa"/>
            <w:vAlign w:val="bottom"/>
          </w:tcPr>
          <w:p>
            <w:pPr>
              <w:spacing w:after="0"/>
              <w:rPr>
                <w:sz w:val="13"/>
                <w:szCs w:val="13"/>
                <w:color w:val="auto"/>
              </w:rPr>
            </w:pPr>
          </w:p>
        </w:tc>
        <w:tc>
          <w:tcPr>
            <w:tcW w:w="3060" w:type="dxa"/>
            <w:vAlign w:val="bottom"/>
          </w:tcPr>
          <w:p>
            <w:pPr>
              <w:ind w:left="80"/>
              <w:spacing w:after="0" w:line="156" w:lineRule="exact"/>
              <w:rPr>
                <w:sz w:val="20"/>
                <w:szCs w:val="20"/>
                <w:color w:val="auto"/>
              </w:rPr>
            </w:pPr>
            <w:r>
              <w:rPr>
                <w:rFonts w:ascii="Times New Roman" w:cs="Times New Roman" w:eastAsia="Times New Roman" w:hAnsi="Times New Roman"/>
                <w:sz w:val="15"/>
                <w:szCs w:val="15"/>
                <w:color w:val="auto"/>
              </w:rPr>
              <w:t>Secured Note - Class ER, 8.39% (EURIBOR +</w:t>
            </w:r>
          </w:p>
        </w:tc>
      </w:tr>
      <w:tr>
        <w:trPr>
          <w:trHeight w:val="208"/>
        </w:trPr>
        <w:tc>
          <w:tcPr>
            <w:tcW w:w="25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Dryden Leveraged Loan CDO (7)</w:t>
            </w:r>
          </w:p>
        </w:tc>
        <w:tc>
          <w:tcPr>
            <w:tcW w:w="30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6.37% due October 18, 2034)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-1640205</wp:posOffset>
            </wp:positionV>
            <wp:extent cx="701230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12305" cy="12890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-1383030</wp:posOffset>
            </wp:positionV>
            <wp:extent cx="7012305" cy="2317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12305" cy="2317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-920115</wp:posOffset>
            </wp:positionV>
            <wp:extent cx="7012305" cy="2317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12305" cy="2317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-457200</wp:posOffset>
            </wp:positionV>
            <wp:extent cx="7012305" cy="2311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12305" cy="2311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140,385</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142,007</w:t>
            </w:r>
          </w:p>
        </w:tc>
        <w:tc>
          <w:tcPr>
            <w:tcW w:w="80" w:type="dxa"/>
            <w:vAlign w:val="bottom"/>
          </w:tcPr>
          <w:p>
            <w:pPr>
              <w:spacing w:after="0"/>
              <w:rPr>
                <w:sz w:val="17"/>
                <w:szCs w:val="17"/>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63.09 %</w:t>
            </w:r>
          </w:p>
        </w:tc>
      </w:tr>
      <w:tr>
        <w:trPr>
          <w:trHeight w:val="742"/>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07/10/25</w:t>
            </w:r>
          </w:p>
        </w:tc>
        <w:tc>
          <w:tcPr>
            <w:tcW w:w="5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1,778</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1,758</w:t>
            </w:r>
          </w:p>
        </w:tc>
        <w:tc>
          <w:tcPr>
            <w:tcW w:w="80" w:type="dxa"/>
            <w:vAlign w:val="bottom"/>
          </w:tcPr>
          <w:p>
            <w:pPr>
              <w:spacing w:after="0"/>
              <w:rPr>
                <w:sz w:val="24"/>
                <w:szCs w:val="24"/>
                <w:color w:val="auto"/>
              </w:rPr>
            </w:pP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1,756</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0.78</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04/03/25</w:t>
            </w:r>
          </w:p>
        </w:tc>
        <w:tc>
          <w:tcPr>
            <w:tcW w:w="520" w:type="dxa"/>
            <w:vAlign w:val="bottom"/>
          </w:tcPr>
          <w:p>
            <w:pPr>
              <w:spacing w:after="0"/>
              <w:rPr>
                <w:sz w:val="24"/>
                <w:szCs w:val="24"/>
                <w:color w:val="auto"/>
              </w:rPr>
            </w:pPr>
          </w:p>
        </w:tc>
        <w:tc>
          <w:tcPr>
            <w:tcW w:w="7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1,338</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1,337</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0.59</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4"/>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09/04/24</w:t>
            </w:r>
          </w:p>
        </w:tc>
        <w:tc>
          <w:tcPr>
            <w:tcW w:w="520" w:type="dxa"/>
            <w:vAlign w:val="bottom"/>
          </w:tcPr>
          <w:p>
            <w:pPr>
              <w:spacing w:after="0"/>
              <w:rPr>
                <w:sz w:val="24"/>
                <w:szCs w:val="24"/>
                <w:color w:val="auto"/>
              </w:rPr>
            </w:pPr>
          </w:p>
        </w:tc>
        <w:tc>
          <w:tcPr>
            <w:tcW w:w="7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2,348</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2,348</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04/18/24</w:t>
            </w:r>
          </w:p>
        </w:tc>
        <w:tc>
          <w:tcPr>
            <w:tcW w:w="520" w:type="dxa"/>
            <w:vAlign w:val="bottom"/>
          </w:tcPr>
          <w:p>
            <w:pPr>
              <w:spacing w:after="0"/>
              <w:rPr>
                <w:sz w:val="24"/>
                <w:szCs w:val="24"/>
                <w:color w:val="auto"/>
              </w:rPr>
            </w:pPr>
          </w:p>
        </w:tc>
        <w:tc>
          <w:tcPr>
            <w:tcW w:w="7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1,467</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1,436</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0.64</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09/23/25</w:t>
            </w:r>
          </w:p>
        </w:tc>
        <w:tc>
          <w:tcPr>
            <w:tcW w:w="520" w:type="dxa"/>
            <w:vAlign w:val="bottom"/>
          </w:tcPr>
          <w:p>
            <w:pPr>
              <w:spacing w:after="0"/>
              <w:rPr>
                <w:sz w:val="24"/>
                <w:szCs w:val="24"/>
                <w:color w:val="auto"/>
              </w:rPr>
            </w:pPr>
          </w:p>
        </w:tc>
        <w:tc>
          <w:tcPr>
            <w:tcW w:w="7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2,348</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2,336</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4"/>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07/30/25</w:t>
            </w:r>
          </w:p>
        </w:tc>
        <w:tc>
          <w:tcPr>
            <w:tcW w:w="520" w:type="dxa"/>
            <w:vAlign w:val="bottom"/>
          </w:tcPr>
          <w:p>
            <w:pPr>
              <w:spacing w:after="0"/>
              <w:rPr>
                <w:sz w:val="24"/>
                <w:szCs w:val="24"/>
                <w:color w:val="auto"/>
              </w:rPr>
            </w:pPr>
          </w:p>
        </w:tc>
        <w:tc>
          <w:tcPr>
            <w:tcW w:w="7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2,348</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2,324</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200" w:lineRule="exact"/>
        <w:rPr>
          <w:sz w:val="20"/>
          <w:szCs w:val="20"/>
          <w:color w:val="auto"/>
        </w:rPr>
      </w:pPr>
    </w:p>
    <w:p>
      <w:pPr>
        <w:sectPr>
          <w:pgSz w:w="11900" w:h="16838" w:orient="portrait"/>
          <w:cols w:equalWidth="0" w:num="2">
            <w:col w:w="5660" w:space="500"/>
            <w:col w:w="4860"/>
          </w:cols>
          <w:pgMar w:left="440" w:top="968" w:right="439" w:bottom="1440" w:gutter="0" w:footer="0" w:header="0"/>
          <w:type w:val="continuous"/>
        </w:sect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968" w:right="439" w:bottom="1440" w:gutter="0" w:footer="0" w:header="0"/>
          <w:type w:val="continuous"/>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SCHEDULE OF INVESTMENTS</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0123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ectPr>
          <w:pgSz w:w="11900" w:h="16838" w:orient="portrait"/>
          <w:cols w:equalWidth="0" w:num="1">
            <w:col w:w="11020"/>
          </w:cols>
          <w:pgMar w:left="440" w:top="968" w:right="439" w:bottom="1440" w:gutter="0" w:footer="0" w:header="0"/>
        </w:sect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Issuer</w:t>
      </w:r>
      <w:r>
        <w:rPr>
          <w:rFonts w:ascii="Times New Roman" w:cs="Times New Roman" w:eastAsia="Times New Roman" w:hAnsi="Times New Roman"/>
          <w:sz w:val="19"/>
          <w:szCs w:val="19"/>
          <w:b w:val="1"/>
          <w:bCs w:val="1"/>
          <w:color w:val="auto"/>
          <w:vertAlign w:val="superscript"/>
        </w:rPr>
        <w:t>(1)</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Harvest CLO (7)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Hayfin Emerald CLO X DAC (7)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Henley Funding Ltd. (7)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Invesco Euro CLO (7)</w:t>
      </w:r>
    </w:p>
    <w:p>
      <w:pPr>
        <w:spacing w:after="0" w:line="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Invesco Euro CLO XIV DAC (5)</w:t>
      </w:r>
    </w:p>
    <w:p>
      <w:pPr>
        <w:ind w:left="320"/>
        <w:spacing w:after="0"/>
        <w:rPr>
          <w:sz w:val="20"/>
          <w:szCs w:val="20"/>
          <w:color w:val="auto"/>
        </w:rPr>
      </w:pPr>
      <w:r>
        <w:rPr>
          <w:rFonts w:ascii="Times New Roman" w:cs="Times New Roman" w:eastAsia="Times New Roman" w:hAnsi="Times New Roman"/>
          <w:sz w:val="15"/>
          <w:szCs w:val="15"/>
          <w:color w:val="auto"/>
        </w:rPr>
        <w:t>(6)</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Jubilee CDO BV (5)(7)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Jubilee CLO 2013-X DAC (7)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Jubilee CLO 2020 XXIV DAC (7)</w:t>
      </w:r>
    </w:p>
    <w:p>
      <w:pPr>
        <w:spacing w:after="0" w:line="30" w:lineRule="exact"/>
        <w:rPr>
          <w:sz w:val="20"/>
          <w:szCs w:val="20"/>
          <w:color w:val="auto"/>
        </w:rPr>
      </w:pPr>
    </w:p>
    <w:p>
      <w:pPr>
        <w:ind w:left="320" w:right="100"/>
        <w:spacing w:after="0" w:line="242" w:lineRule="auto"/>
        <w:rPr>
          <w:sz w:val="20"/>
          <w:szCs w:val="20"/>
          <w:color w:val="auto"/>
        </w:rPr>
      </w:pPr>
      <w:r>
        <w:rPr>
          <w:rFonts w:ascii="Times New Roman" w:cs="Times New Roman" w:eastAsia="Times New Roman" w:hAnsi="Times New Roman"/>
          <w:sz w:val="15"/>
          <w:szCs w:val="15"/>
          <w:color w:val="auto"/>
        </w:rPr>
        <w:t>Madison Park Euro Funding XIV DAC (5)(7)</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MAN Euro CLO 2023-1 DAC (5)</w:t>
      </w:r>
    </w:p>
    <w:p>
      <w:pPr>
        <w:ind w:left="320"/>
        <w:spacing w:after="0"/>
        <w:rPr>
          <w:sz w:val="20"/>
          <w:szCs w:val="20"/>
          <w:color w:val="auto"/>
        </w:rPr>
      </w:pPr>
      <w:r>
        <w:rPr>
          <w:rFonts w:ascii="Times New Roman" w:cs="Times New Roman" w:eastAsia="Times New Roman" w:hAnsi="Times New Roman"/>
          <w:sz w:val="15"/>
          <w:szCs w:val="15"/>
          <w:color w:val="auto"/>
        </w:rPr>
        <w:t>(7)</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Nassau Euro CLO DAC (7)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OCP Euro CLO (7)</w:t>
      </w:r>
    </w:p>
    <w:p>
      <w:pPr>
        <w:spacing w:after="0" w:line="30" w:lineRule="exact"/>
        <w:rPr>
          <w:sz w:val="20"/>
          <w:szCs w:val="20"/>
          <w:color w:val="auto"/>
        </w:rPr>
      </w:pPr>
    </w:p>
    <w:p>
      <w:pPr>
        <w:ind w:left="320" w:right="320"/>
        <w:spacing w:after="0" w:line="242" w:lineRule="auto"/>
        <w:rPr>
          <w:sz w:val="20"/>
          <w:szCs w:val="20"/>
          <w:color w:val="auto"/>
        </w:rPr>
      </w:pPr>
      <w:r>
        <w:rPr>
          <w:rFonts w:ascii="Times New Roman" w:cs="Times New Roman" w:eastAsia="Times New Roman" w:hAnsi="Times New Roman"/>
          <w:sz w:val="15"/>
          <w:szCs w:val="15"/>
          <w:color w:val="auto"/>
        </w:rPr>
        <w:t>Rockford Tower Europe CLO 2021-2 DAC (7)</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Sculptor European CLO I DAC (7)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St Pauls CLO (7)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St Paul's CLO IV DAC (7)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St Paul's CLO V DAC (5)(7)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STRU JP-7992 FA (7)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Toro European CLO (5)(7)</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Investment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-1699895</wp:posOffset>
            </wp:positionH>
            <wp:positionV relativeFrom="paragraph">
              <wp:posOffset>24130</wp:posOffset>
            </wp:positionV>
            <wp:extent cx="7012305" cy="2400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12305" cy="240030"/>
                    </a:xfrm>
                    <a:prstGeom prst="rect">
                      <a:avLst/>
                    </a:prstGeom>
                    <a:noFill/>
                  </pic:spPr>
                </pic:pic>
              </a:graphicData>
            </a:graphic>
          </wp:anchor>
        </w:drawing>
      </w:r>
    </w:p>
    <w:p>
      <w:pPr>
        <w:spacing w:after="0" w:line="28" w:lineRule="exact"/>
        <w:rPr>
          <w:sz w:val="20"/>
          <w:szCs w:val="20"/>
          <w:color w:val="auto"/>
        </w:rPr>
      </w:pPr>
    </w:p>
    <w:p>
      <w:pPr>
        <w:ind w:right="240"/>
        <w:spacing w:after="0" w:line="242" w:lineRule="auto"/>
        <w:rPr>
          <w:sz w:val="20"/>
          <w:szCs w:val="20"/>
          <w:color w:val="auto"/>
        </w:rPr>
      </w:pPr>
      <w:r>
        <w:rPr>
          <w:rFonts w:ascii="Times New Roman" w:cs="Times New Roman" w:eastAsia="Times New Roman" w:hAnsi="Times New Roman"/>
          <w:sz w:val="15"/>
          <w:szCs w:val="15"/>
          <w:color w:val="auto"/>
        </w:rPr>
        <w:t>Secured Note - Class FR, 10.65% (EURIBOR + 8.62% due July 15, 2037)</w:t>
      </w:r>
    </w:p>
    <w:p>
      <w:pPr>
        <w:spacing w:after="0" w:line="17" w:lineRule="exact"/>
        <w:rPr>
          <w:sz w:val="20"/>
          <w:szCs w:val="20"/>
          <w:color w:val="auto"/>
        </w:rPr>
      </w:pPr>
    </w:p>
    <w:p>
      <w:pPr>
        <w:ind w:right="320"/>
        <w:spacing w:after="0" w:line="242" w:lineRule="auto"/>
        <w:rPr>
          <w:sz w:val="20"/>
          <w:szCs w:val="20"/>
          <w:color w:val="auto"/>
        </w:rPr>
      </w:pPr>
      <w:r>
        <w:rPr>
          <w:rFonts w:ascii="Times New Roman" w:cs="Times New Roman" w:eastAsia="Times New Roman" w:hAnsi="Times New Roman"/>
          <w:sz w:val="15"/>
          <w:szCs w:val="15"/>
          <w:color w:val="auto"/>
        </w:rPr>
        <w:t>Secured Note - Class FR, 9.93% (EURIBOR + 7.91% due July 18, 2038)</w:t>
      </w:r>
    </w:p>
    <w:p>
      <w:pPr>
        <w:spacing w:after="0" w:line="17" w:lineRule="exact"/>
        <w:rPr>
          <w:sz w:val="20"/>
          <w:szCs w:val="20"/>
          <w:color w:val="auto"/>
        </w:rPr>
      </w:pPr>
    </w:p>
    <w:p>
      <w:pPr>
        <w:ind w:right="340"/>
        <w:spacing w:after="0" w:line="242" w:lineRule="auto"/>
        <w:rPr>
          <w:sz w:val="20"/>
          <w:szCs w:val="20"/>
          <w:color w:val="auto"/>
        </w:rPr>
      </w:pPr>
      <w:r>
        <w:rPr>
          <w:rFonts w:ascii="Times New Roman" w:cs="Times New Roman" w:eastAsia="Times New Roman" w:hAnsi="Times New Roman"/>
          <w:sz w:val="15"/>
          <w:szCs w:val="15"/>
          <w:color w:val="auto"/>
        </w:rPr>
        <w:t>Secured Note - Class F, 10.42% (EURIBOR + 8.42% due October 15, 2038)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-1699895</wp:posOffset>
            </wp:positionH>
            <wp:positionV relativeFrom="paragraph">
              <wp:posOffset>-217805</wp:posOffset>
            </wp:positionV>
            <wp:extent cx="7012305" cy="2317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12305" cy="231775"/>
                    </a:xfrm>
                    <a:prstGeom prst="rect">
                      <a:avLst/>
                    </a:prstGeom>
                    <a:noFill/>
                  </pic:spPr>
                </pic:pic>
              </a:graphicData>
            </a:graphic>
          </wp:anchor>
        </w:drawing>
      </w:r>
    </w:p>
    <w:p>
      <w:pPr>
        <w:ind w:right="400"/>
        <w:spacing w:after="0" w:line="242" w:lineRule="auto"/>
        <w:rPr>
          <w:sz w:val="20"/>
          <w:szCs w:val="20"/>
          <w:color w:val="auto"/>
        </w:rPr>
      </w:pPr>
      <w:r>
        <w:rPr>
          <w:rFonts w:ascii="Times New Roman" w:cs="Times New Roman" w:eastAsia="Times New Roman" w:hAnsi="Times New Roman"/>
          <w:sz w:val="15"/>
          <w:szCs w:val="15"/>
          <w:color w:val="auto"/>
        </w:rPr>
        <w:t>Secured Note - Class E, 7.38% (EURIBOR + 5.35% due April 15, 2033)</w:t>
      </w:r>
    </w:p>
    <w:p>
      <w:pPr>
        <w:spacing w:after="0" w:line="17" w:lineRule="exact"/>
        <w:rPr>
          <w:sz w:val="20"/>
          <w:szCs w:val="20"/>
          <w:color w:val="auto"/>
        </w:rPr>
      </w:pPr>
    </w:p>
    <w:p>
      <w:pPr>
        <w:ind w:right="340"/>
        <w:spacing w:after="0" w:line="242" w:lineRule="auto"/>
        <w:rPr>
          <w:sz w:val="20"/>
          <w:szCs w:val="20"/>
          <w:color w:val="auto"/>
        </w:rPr>
      </w:pPr>
      <w:r>
        <w:rPr>
          <w:rFonts w:ascii="Times New Roman" w:cs="Times New Roman" w:eastAsia="Times New Roman" w:hAnsi="Times New Roman"/>
          <w:sz w:val="15"/>
          <w:szCs w:val="15"/>
          <w:color w:val="auto"/>
        </w:rPr>
        <w:t>Secured Note - Class F, 10.59% (EURIBOR + 8.56% due January 15, 2039)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-1699895</wp:posOffset>
            </wp:positionH>
            <wp:positionV relativeFrom="paragraph">
              <wp:posOffset>-217805</wp:posOffset>
            </wp:positionV>
            <wp:extent cx="7012305" cy="2311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12305" cy="231140"/>
                    </a:xfrm>
                    <a:prstGeom prst="rect">
                      <a:avLst/>
                    </a:prstGeom>
                    <a:noFill/>
                  </pic:spPr>
                </pic:pic>
              </a:graphicData>
            </a:graphic>
          </wp:anchor>
        </w:drawing>
      </w:r>
    </w:p>
    <w:p>
      <w:pPr>
        <w:ind w:right="240"/>
        <w:spacing w:after="0" w:line="242" w:lineRule="auto"/>
        <w:rPr>
          <w:sz w:val="20"/>
          <w:szCs w:val="20"/>
          <w:color w:val="auto"/>
        </w:rPr>
      </w:pPr>
      <w:r>
        <w:rPr>
          <w:rFonts w:ascii="Times New Roman" w:cs="Times New Roman" w:eastAsia="Times New Roman" w:hAnsi="Times New Roman"/>
          <w:sz w:val="15"/>
          <w:szCs w:val="15"/>
          <w:color w:val="auto"/>
        </w:rPr>
        <w:t>Secured Note - Class FR, 10.64% (EUR003M + 8.7% due April 25, 2038)</w:t>
      </w:r>
    </w:p>
    <w:p>
      <w:pPr>
        <w:spacing w:after="0" w:line="17"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5"/>
          <w:szCs w:val="15"/>
          <w:color w:val="auto"/>
        </w:rPr>
        <w:t>Secured Note - Class FRR, 10.58% (EURIBOR + 8.55% due July 15, 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-1699895</wp:posOffset>
            </wp:positionH>
            <wp:positionV relativeFrom="paragraph">
              <wp:posOffset>-217805</wp:posOffset>
            </wp:positionV>
            <wp:extent cx="7012305" cy="2311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12305" cy="231140"/>
                    </a:xfrm>
                    <a:prstGeom prst="rect">
                      <a:avLst/>
                    </a:prstGeom>
                    <a:noFill/>
                  </pic:spPr>
                </pic:pic>
              </a:graphicData>
            </a:graphic>
          </wp:anchor>
        </w:drawing>
      </w:r>
    </w:p>
    <w:p>
      <w:pPr>
        <w:ind w:right="340"/>
        <w:spacing w:after="0" w:line="242" w:lineRule="auto"/>
        <w:rPr>
          <w:sz w:val="20"/>
          <w:szCs w:val="20"/>
          <w:color w:val="auto"/>
        </w:rPr>
      </w:pPr>
      <w:r>
        <w:rPr>
          <w:rFonts w:ascii="Times New Roman" w:cs="Times New Roman" w:eastAsia="Times New Roman" w:hAnsi="Times New Roman"/>
          <w:sz w:val="15"/>
          <w:szCs w:val="15"/>
          <w:color w:val="auto"/>
        </w:rPr>
        <w:t>Secured Note - Class F, 10.61% (EURIBOR + 8.57% due January 16, 2034)</w:t>
      </w:r>
    </w:p>
    <w:p>
      <w:pPr>
        <w:spacing w:after="0" w:line="17" w:lineRule="exact"/>
        <w:rPr>
          <w:sz w:val="20"/>
          <w:szCs w:val="20"/>
          <w:color w:val="auto"/>
        </w:rPr>
      </w:pPr>
    </w:p>
    <w:p>
      <w:pPr>
        <w:ind w:right="240"/>
        <w:spacing w:after="0" w:line="242" w:lineRule="auto"/>
        <w:rPr>
          <w:sz w:val="20"/>
          <w:szCs w:val="20"/>
          <w:color w:val="auto"/>
        </w:rPr>
      </w:pPr>
      <w:r>
        <w:rPr>
          <w:rFonts w:ascii="Times New Roman" w:cs="Times New Roman" w:eastAsia="Times New Roman" w:hAnsi="Times New Roman"/>
          <w:sz w:val="15"/>
          <w:szCs w:val="15"/>
          <w:color w:val="auto"/>
        </w:rPr>
        <w:t>Secured Note - Class FR, 10.85% (EURIBOR + 8.82% due July 15,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-1699895</wp:posOffset>
            </wp:positionH>
            <wp:positionV relativeFrom="paragraph">
              <wp:posOffset>-217805</wp:posOffset>
            </wp:positionV>
            <wp:extent cx="7012305" cy="2317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12305" cy="231775"/>
                    </a:xfrm>
                    <a:prstGeom prst="rect">
                      <a:avLst/>
                    </a:prstGeom>
                    <a:noFill/>
                  </pic:spPr>
                </pic:pic>
              </a:graphicData>
            </a:graphic>
          </wp:anchor>
        </w:drawing>
      </w:r>
    </w:p>
    <w:p>
      <w:pPr>
        <w:ind w:right="340"/>
        <w:spacing w:after="0" w:line="242" w:lineRule="auto"/>
        <w:rPr>
          <w:sz w:val="20"/>
          <w:szCs w:val="20"/>
          <w:color w:val="auto"/>
        </w:rPr>
      </w:pPr>
      <w:r>
        <w:rPr>
          <w:rFonts w:ascii="Times New Roman" w:cs="Times New Roman" w:eastAsia="Times New Roman" w:hAnsi="Times New Roman"/>
          <w:sz w:val="15"/>
          <w:szCs w:val="15"/>
          <w:color w:val="auto"/>
        </w:rPr>
        <w:t>Secured Note - Class F, 12.16% (EURIBOR + 10.13% due October 15, 2036)</w:t>
      </w:r>
    </w:p>
    <w:p>
      <w:pPr>
        <w:spacing w:after="0" w:line="17" w:lineRule="exact"/>
        <w:rPr>
          <w:sz w:val="20"/>
          <w:szCs w:val="20"/>
          <w:color w:val="auto"/>
        </w:rPr>
      </w:pPr>
    </w:p>
    <w:p>
      <w:pPr>
        <w:ind w:right="240"/>
        <w:spacing w:after="0" w:line="242" w:lineRule="auto"/>
        <w:rPr>
          <w:sz w:val="20"/>
          <w:szCs w:val="20"/>
          <w:color w:val="auto"/>
        </w:rPr>
      </w:pPr>
      <w:r>
        <w:rPr>
          <w:rFonts w:ascii="Times New Roman" w:cs="Times New Roman" w:eastAsia="Times New Roman" w:hAnsi="Times New Roman"/>
          <w:sz w:val="15"/>
          <w:szCs w:val="15"/>
          <w:color w:val="auto"/>
        </w:rPr>
        <w:t>Secured Note - Class FR, 10.05% (EURIBOR + 8.17% due October 15, 2039)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-1699895</wp:posOffset>
            </wp:positionH>
            <wp:positionV relativeFrom="paragraph">
              <wp:posOffset>-217805</wp:posOffset>
            </wp:positionV>
            <wp:extent cx="7012305" cy="2317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12305" cy="231775"/>
                    </a:xfrm>
                    <a:prstGeom prst="rect">
                      <a:avLst/>
                    </a:prstGeom>
                    <a:noFill/>
                  </pic:spPr>
                </pic:pic>
              </a:graphicData>
            </a:graphic>
          </wp:anchor>
        </w:drawing>
      </w:r>
    </w:p>
    <w:p>
      <w:pPr>
        <w:ind w:right="140"/>
        <w:spacing w:after="0" w:line="242" w:lineRule="auto"/>
        <w:rPr>
          <w:sz w:val="20"/>
          <w:szCs w:val="20"/>
          <w:color w:val="auto"/>
        </w:rPr>
      </w:pPr>
      <w:r>
        <w:rPr>
          <w:rFonts w:ascii="Times New Roman" w:cs="Times New Roman" w:eastAsia="Times New Roman" w:hAnsi="Times New Roman"/>
          <w:sz w:val="15"/>
          <w:szCs w:val="15"/>
          <w:color w:val="auto"/>
        </w:rPr>
        <w:t>Secured Note - Class FRR, 10.64% (EURIBOR + 8.62% due July 20, 2036)</w:t>
      </w:r>
    </w:p>
    <w:p>
      <w:pPr>
        <w:spacing w:after="0" w:line="1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5"/>
          <w:szCs w:val="15"/>
          <w:color w:val="auto"/>
        </w:rPr>
        <w:t>Secured Note - Class F, 10.84% (EURIBOR + 8.9% due January 24,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-1699895</wp:posOffset>
            </wp:positionH>
            <wp:positionV relativeFrom="paragraph">
              <wp:posOffset>-217805</wp:posOffset>
            </wp:positionV>
            <wp:extent cx="7012305" cy="2311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12305" cy="231140"/>
                    </a:xfrm>
                    <a:prstGeom prst="rect">
                      <a:avLst/>
                    </a:prstGeom>
                    <a:noFill/>
                  </pic:spPr>
                </pic:pic>
              </a:graphicData>
            </a:graphic>
          </wp:anchor>
        </w:drawing>
      </w:r>
    </w:p>
    <w:p>
      <w:pPr>
        <w:ind w:right="240"/>
        <w:spacing w:after="0" w:line="242" w:lineRule="auto"/>
        <w:rPr>
          <w:sz w:val="20"/>
          <w:szCs w:val="20"/>
          <w:color w:val="auto"/>
        </w:rPr>
      </w:pPr>
      <w:r>
        <w:rPr>
          <w:rFonts w:ascii="Times New Roman" w:cs="Times New Roman" w:eastAsia="Times New Roman" w:hAnsi="Times New Roman"/>
          <w:sz w:val="15"/>
          <w:szCs w:val="15"/>
          <w:color w:val="auto"/>
        </w:rPr>
        <w:t>Secured Note - Class FR, 10.43% (EURIBOR + 8.41% due April 18, 2034)</w:t>
      </w:r>
    </w:p>
    <w:p>
      <w:pPr>
        <w:spacing w:after="0" w:line="17" w:lineRule="exact"/>
        <w:rPr>
          <w:sz w:val="20"/>
          <w:szCs w:val="20"/>
          <w:color w:val="auto"/>
        </w:rPr>
      </w:pPr>
    </w:p>
    <w:p>
      <w:pPr>
        <w:ind w:right="240"/>
        <w:spacing w:after="0" w:line="242" w:lineRule="auto"/>
        <w:rPr>
          <w:sz w:val="20"/>
          <w:szCs w:val="20"/>
          <w:color w:val="auto"/>
        </w:rPr>
      </w:pPr>
      <w:r>
        <w:rPr>
          <w:rFonts w:ascii="Times New Roman" w:cs="Times New Roman" w:eastAsia="Times New Roman" w:hAnsi="Times New Roman"/>
          <w:sz w:val="15"/>
          <w:szCs w:val="15"/>
          <w:color w:val="auto"/>
        </w:rPr>
        <w:t>Secured Note - Class FR, 11.95% (EURIBOR + 9.93% due July 20,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-1699895</wp:posOffset>
            </wp:positionH>
            <wp:positionV relativeFrom="paragraph">
              <wp:posOffset>-217805</wp:posOffset>
            </wp:positionV>
            <wp:extent cx="7012305" cy="2317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12305" cy="231775"/>
                    </a:xfrm>
                    <a:prstGeom prst="rect">
                      <a:avLst/>
                    </a:prstGeom>
                    <a:noFill/>
                  </pic:spPr>
                </pic:pic>
              </a:graphicData>
            </a:graphic>
          </wp:anchor>
        </w:drawing>
      </w:r>
    </w:p>
    <w:p>
      <w:pPr>
        <w:ind w:right="200"/>
        <w:spacing w:after="0" w:line="242" w:lineRule="auto"/>
        <w:rPr>
          <w:sz w:val="20"/>
          <w:szCs w:val="20"/>
          <w:color w:val="auto"/>
        </w:rPr>
      </w:pPr>
      <w:r>
        <w:rPr>
          <w:rFonts w:ascii="Times New Roman" w:cs="Times New Roman" w:eastAsia="Times New Roman" w:hAnsi="Times New Roman"/>
          <w:sz w:val="15"/>
          <w:szCs w:val="15"/>
          <w:color w:val="auto"/>
        </w:rPr>
        <w:t>Secured Note - Class ERR, 8.74% (EURIBOR + 6.58% due April 25, 2030)</w:t>
      </w:r>
    </w:p>
    <w:p>
      <w:pPr>
        <w:spacing w:after="0" w:line="17" w:lineRule="exact"/>
        <w:rPr>
          <w:sz w:val="20"/>
          <w:szCs w:val="20"/>
          <w:color w:val="auto"/>
        </w:rPr>
      </w:pPr>
    </w:p>
    <w:p>
      <w:pPr>
        <w:ind w:right="320"/>
        <w:spacing w:after="0" w:line="242" w:lineRule="auto"/>
        <w:rPr>
          <w:sz w:val="20"/>
          <w:szCs w:val="20"/>
          <w:color w:val="auto"/>
        </w:rPr>
      </w:pPr>
      <w:r>
        <w:rPr>
          <w:rFonts w:ascii="Times New Roman" w:cs="Times New Roman" w:eastAsia="Times New Roman" w:hAnsi="Times New Roman"/>
          <w:sz w:val="15"/>
          <w:szCs w:val="15"/>
          <w:color w:val="auto"/>
        </w:rPr>
        <w:t>Secured Note - Class FR, 8.63% (EURIBOR + 6.6% due August 20,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-1699895</wp:posOffset>
            </wp:positionH>
            <wp:positionV relativeFrom="paragraph">
              <wp:posOffset>-217805</wp:posOffset>
            </wp:positionV>
            <wp:extent cx="7012305" cy="2311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12305" cy="231140"/>
                    </a:xfrm>
                    <a:prstGeom prst="rect">
                      <a:avLst/>
                    </a:prstGeom>
                    <a:noFill/>
                  </pic:spPr>
                </pic:pic>
              </a:graphicData>
            </a:graphic>
          </wp:anchor>
        </w:drawing>
      </w:r>
    </w:p>
    <w:p>
      <w:pPr>
        <w:spacing w:after="0" w:line="242" w:lineRule="auto"/>
        <w:rPr>
          <w:sz w:val="20"/>
          <w:szCs w:val="20"/>
          <w:color w:val="auto"/>
        </w:rPr>
      </w:pPr>
      <w:r>
        <w:rPr>
          <w:rFonts w:ascii="Times New Roman" w:cs="Times New Roman" w:eastAsia="Times New Roman" w:hAnsi="Times New Roman"/>
          <w:sz w:val="15"/>
          <w:szCs w:val="15"/>
          <w:color w:val="auto"/>
        </w:rPr>
        <w:t>Secured Note - Class F, 9.47% (EURIBOR + 7.35% due April 25, 2038)</w:t>
      </w:r>
    </w:p>
    <w:p>
      <w:pPr>
        <w:spacing w:after="0" w:line="17" w:lineRule="exact"/>
        <w:rPr>
          <w:sz w:val="20"/>
          <w:szCs w:val="20"/>
          <w:color w:val="auto"/>
        </w:rPr>
      </w:pPr>
    </w:p>
    <w:p>
      <w:pPr>
        <w:ind w:right="340"/>
        <w:spacing w:after="0" w:line="242" w:lineRule="auto"/>
        <w:rPr>
          <w:sz w:val="20"/>
          <w:szCs w:val="20"/>
          <w:color w:val="auto"/>
        </w:rPr>
      </w:pPr>
      <w:r>
        <w:rPr>
          <w:rFonts w:ascii="Times New Roman" w:cs="Times New Roman" w:eastAsia="Times New Roman" w:hAnsi="Times New Roman"/>
          <w:sz w:val="15"/>
          <w:szCs w:val="15"/>
          <w:color w:val="auto"/>
        </w:rPr>
        <w:t>Secured Note - Class F, 10.49% (EURIBOR + 8.49% due January 12,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-1699895</wp:posOffset>
            </wp:positionH>
            <wp:positionV relativeFrom="paragraph">
              <wp:posOffset>-217805</wp:posOffset>
            </wp:positionV>
            <wp:extent cx="7012305" cy="2317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12305" cy="231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Acquisition</w:t>
            </w:r>
          </w:p>
        </w:tc>
        <w:tc>
          <w:tcPr>
            <w:tcW w:w="16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Principal</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 of Net</w:t>
            </w:r>
          </w:p>
        </w:tc>
        <w:tc>
          <w:tcPr>
            <w:tcW w:w="140" w:type="dxa"/>
            <w:vAlign w:val="bottom"/>
          </w:tcPr>
          <w:p>
            <w:pPr>
              <w:spacing w:after="0"/>
              <w:rPr>
                <w:sz w:val="15"/>
                <w:szCs w:val="15"/>
                <w:color w:val="auto"/>
              </w:rPr>
            </w:pPr>
          </w:p>
        </w:tc>
      </w:tr>
      <w:tr>
        <w:trPr>
          <w:trHeight w:val="216"/>
        </w:trPr>
        <w:tc>
          <w:tcPr>
            <w:tcW w:w="1060" w:type="dxa"/>
            <w:vAlign w:val="bottom"/>
            <w:gridSpan w:val="2"/>
          </w:tcPr>
          <w:p>
            <w:pPr>
              <w:jc w:val="center"/>
              <w:ind w:right="80"/>
              <w:spacing w:after="0" w:line="216" w:lineRule="exact"/>
              <w:rPr>
                <w:sz w:val="20"/>
                <w:szCs w:val="20"/>
                <w:color w:val="auto"/>
              </w:rPr>
            </w:pPr>
            <w:r>
              <w:rPr>
                <w:rFonts w:ascii="Times New Roman" w:cs="Times New Roman" w:eastAsia="Times New Roman" w:hAnsi="Times New Roman"/>
                <w:sz w:val="15"/>
                <w:szCs w:val="15"/>
                <w:b w:val="1"/>
                <w:bCs w:val="1"/>
                <w:color w:val="auto"/>
                <w:w w:val="93"/>
              </w:rPr>
              <w:t>Date</w:t>
            </w:r>
            <w:r>
              <w:rPr>
                <w:rFonts w:ascii="Times New Roman" w:cs="Times New Roman" w:eastAsia="Times New Roman" w:hAnsi="Times New Roman"/>
                <w:sz w:val="19"/>
                <w:szCs w:val="19"/>
                <w:b w:val="1"/>
                <w:bCs w:val="1"/>
                <w:color w:val="auto"/>
                <w:w w:val="93"/>
                <w:vertAlign w:val="superscript"/>
              </w:rPr>
              <w:t>(2)</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Amount/Shares</w:t>
            </w:r>
          </w:p>
        </w:tc>
        <w:tc>
          <w:tcPr>
            <w:tcW w:w="200" w:type="dxa"/>
            <w:vAlign w:val="bottom"/>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Cost</w:t>
            </w:r>
          </w:p>
        </w:tc>
        <w:tc>
          <w:tcPr>
            <w:tcW w:w="98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15"/>
                <w:szCs w:val="15"/>
                <w:b w:val="1"/>
                <w:bCs w:val="1"/>
                <w:color w:val="auto"/>
              </w:rPr>
              <w:t>Fair Value</w:t>
            </w:r>
            <w:r>
              <w:rPr>
                <w:rFonts w:ascii="Times New Roman" w:cs="Times New Roman" w:eastAsia="Times New Roman" w:hAnsi="Times New Roman"/>
                <w:sz w:val="19"/>
                <w:szCs w:val="19"/>
                <w:b w:val="1"/>
                <w:bCs w:val="1"/>
                <w:color w:val="auto"/>
                <w:vertAlign w:val="superscript"/>
              </w:rPr>
              <w:t>(3)</w:t>
            </w: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40" w:type="dxa"/>
            <w:vAlign w:val="bottom"/>
          </w:tcPr>
          <w:p>
            <w:pPr>
              <w:spacing w:after="0"/>
              <w:rPr>
                <w:sz w:val="18"/>
                <w:szCs w:val="18"/>
                <w:color w:val="auto"/>
              </w:rPr>
            </w:pPr>
          </w:p>
        </w:tc>
      </w:tr>
      <w:tr>
        <w:trPr>
          <w:trHeight w:val="350"/>
        </w:trPr>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06/25/25</w:t>
            </w:r>
          </w:p>
        </w:tc>
        <w:tc>
          <w:tcPr>
            <w:tcW w:w="80" w:type="dxa"/>
            <w:vAlign w:val="bottom"/>
          </w:tcPr>
          <w:p>
            <w:pPr>
              <w:spacing w:after="0"/>
              <w:rPr>
                <w:sz w:val="24"/>
                <w:szCs w:val="24"/>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3,521</w:t>
            </w:r>
          </w:p>
        </w:tc>
        <w:tc>
          <w:tcPr>
            <w:tcW w:w="80" w:type="dxa"/>
            <w:vAlign w:val="bottom"/>
          </w:tcPr>
          <w:p>
            <w:pPr>
              <w:spacing w:after="0"/>
              <w:rPr>
                <w:sz w:val="24"/>
                <w:szCs w:val="24"/>
                <w:color w:val="auto"/>
              </w:rPr>
            </w:pPr>
          </w:p>
        </w:tc>
        <w:tc>
          <w:tcPr>
            <w:tcW w:w="20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3,466</w:t>
            </w:r>
          </w:p>
        </w:tc>
        <w:tc>
          <w:tcPr>
            <w:tcW w:w="80" w:type="dxa"/>
            <w:vAlign w:val="bottom"/>
          </w:tcPr>
          <w:p>
            <w:pPr>
              <w:spacing w:after="0"/>
              <w:rPr>
                <w:sz w:val="24"/>
                <w:szCs w:val="24"/>
                <w:color w:val="auto"/>
              </w:rPr>
            </w:pPr>
          </w:p>
        </w:tc>
        <w:tc>
          <w:tcPr>
            <w:tcW w:w="30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3,512</w:t>
            </w:r>
          </w:p>
        </w:tc>
        <w:tc>
          <w:tcPr>
            <w:tcW w:w="80" w:type="dxa"/>
            <w:vAlign w:val="bottom"/>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1.56</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02/18/25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2,264</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07/03/25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1,158</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0.52</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06/26/25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1,458</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0.65</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09/08/25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279</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0.12</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07/01/25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3,521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3,464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3,482</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04/23/24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863</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0.38</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09/10/24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1,444</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0.64</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07/16/24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1,748</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0.78</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04/15/24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1,763</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0.78</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09/03/25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1,220</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0.54</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07/03/25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2,458</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11/12/24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1,167</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0.52</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04/23/24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854</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0.38</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08/28/25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1,675</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0.74</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03/27/25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1,068</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0.48</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07/11/24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1,685</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0.75</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02/27/25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2,321</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06/05/25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1,585</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0.70</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bl>
    <w:p>
      <w:pPr>
        <w:spacing w:after="0" w:line="1" w:lineRule="exact"/>
        <w:rPr>
          <w:sz w:val="20"/>
          <w:szCs w:val="20"/>
          <w:color w:val="auto"/>
        </w:rPr>
      </w:pPr>
    </w:p>
    <w:p>
      <w:pPr>
        <w:sectPr>
          <w:pgSz w:w="11900" w:h="16838" w:orient="portrait"/>
          <w:cols w:equalWidth="0" w:num="3">
            <w:col w:w="2480" w:space="180"/>
            <w:col w:w="3180" w:space="100"/>
            <w:col w:w="5080"/>
          </w:cols>
          <w:pgMar w:left="440" w:top="968" w:right="439" w:bottom="1440" w:gutter="0" w:footer="0" w:header="0"/>
          <w:type w:val="continuous"/>
        </w:sectPr>
      </w:pPr>
    </w:p>
    <w:p>
      <w:pPr>
        <w:spacing w:after="0" w:line="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b w:val="1"/>
          <w:bCs w:val="1"/>
          <w:color w:val="auto"/>
        </w:rPr>
        <w:t>Total Collateralized Loan Obligations - Debt, European Union - Various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24130</wp:posOffset>
            </wp:positionV>
            <wp:extent cx="7012305"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12305" cy="154305"/>
                    </a:xfrm>
                    <a:prstGeom prst="rect">
                      <a:avLst/>
                    </a:prstGeom>
                    <a:noFill/>
                  </pic:spPr>
                </pic:pic>
              </a:graphicData>
            </a:graphic>
          </wp:anchor>
        </w:drawing>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b w:val="1"/>
          <w:bCs w:val="1"/>
          <w:color w:val="auto"/>
        </w:rPr>
        <w:t>Total Collateralized Loan Obligations - Debt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Collateralized Loan Obligations - Equity</w:t>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b w:val="1"/>
          <w:bCs w:val="1"/>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-104140</wp:posOffset>
            </wp:positionV>
            <wp:extent cx="7012305"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12305" cy="128905"/>
                    </a:xfrm>
                    <a:prstGeom prst="rect">
                      <a:avLst/>
                    </a:prstGeom>
                    <a:noFill/>
                  </pic:spPr>
                </pic:pic>
              </a:graphicData>
            </a:graphic>
          </wp:anchor>
        </w:drawing>
      </w:r>
    </w:p>
    <w:p>
      <w:pPr>
        <w:spacing w:after="0" w:line="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b w:val="1"/>
          <w:bCs w:val="1"/>
          <w:color w:val="auto"/>
        </w:rPr>
        <w:t>Structured Finance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22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41,770</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43,541</w:t>
            </w:r>
          </w:p>
        </w:tc>
        <w:tc>
          <w:tcPr>
            <w:tcW w:w="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19.34 %</w:t>
            </w:r>
          </w:p>
        </w:tc>
      </w:tr>
      <w:tr>
        <w:trPr>
          <w:trHeight w:val="196"/>
        </w:trPr>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182,155</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185,548</w:t>
            </w:r>
          </w:p>
        </w:tc>
        <w:tc>
          <w:tcPr>
            <w:tcW w:w="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82.43 %</w:t>
            </w: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568" w:lineRule="exact"/>
        <w:rPr>
          <w:sz w:val="20"/>
          <w:szCs w:val="20"/>
          <w:color w:val="auto"/>
        </w:rPr>
      </w:pPr>
    </w:p>
    <w:p>
      <w:pPr>
        <w:sectPr>
          <w:pgSz w:w="11900" w:h="16838" w:orient="portrait"/>
          <w:cols w:equalWidth="0" w:num="2">
            <w:col w:w="7420" w:space="720"/>
            <w:col w:w="2880"/>
          </w:cols>
          <w:pgMar w:left="440" w:top="968" w:right="439"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5"/>
          <w:szCs w:val="15"/>
          <w:color w:val="auto"/>
        </w:rPr>
        <w:t>522 Funding CLO 2019-5 Ltd (5)</w:t>
      </w:r>
    </w:p>
    <w:p>
      <w:pPr>
        <w:ind w:left="320"/>
        <w:spacing w:after="0"/>
        <w:rPr>
          <w:sz w:val="20"/>
          <w:szCs w:val="20"/>
          <w:color w:val="auto"/>
        </w:rPr>
      </w:pPr>
      <w:r>
        <w:rPr>
          <w:rFonts w:ascii="Times New Roman" w:cs="Times New Roman" w:eastAsia="Times New Roman" w:hAnsi="Times New Roman"/>
          <w:sz w:val="15"/>
          <w:szCs w:val="15"/>
          <w:color w:val="auto"/>
        </w:rPr>
        <w:t>(6)</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Aimco (5)</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Allegro CLO Ltd (5)</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Allegro CLO VII Ltd (5)(6)</w:t>
      </w:r>
    </w:p>
    <w:p>
      <w:pPr>
        <w:spacing w:after="0" w:line="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Anchorage Credit Funding 6 Ltd</w:t>
      </w:r>
    </w:p>
    <w:p>
      <w:pPr>
        <w:ind w:left="320"/>
        <w:spacing w:after="0"/>
        <w:rPr>
          <w:sz w:val="20"/>
          <w:szCs w:val="20"/>
          <w:color w:val="auto"/>
        </w:rPr>
      </w:pPr>
      <w:r>
        <w:rPr>
          <w:rFonts w:ascii="Times New Roman" w:cs="Times New Roman" w:eastAsia="Times New Roman" w:hAnsi="Times New Roman"/>
          <w:sz w:val="15"/>
          <w:szCs w:val="15"/>
          <w:color w:val="auto"/>
        </w:rPr>
        <w:t>(5)(6)(9)</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Apidos CLO Ltd (5)</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Apidos CLO Ltd (5)(6)</w:t>
      </w:r>
    </w:p>
    <w:p>
      <w:pPr>
        <w:spacing w:after="0" w:line="20" w:lineRule="exact"/>
        <w:rPr>
          <w:sz w:val="20"/>
          <w:szCs w:val="20"/>
          <w:color w:val="auto"/>
        </w:rPr>
      </w:pPr>
      <w:r>
        <w:rPr>
          <w:sz w:val="20"/>
          <w:szCs w:val="20"/>
          <w:color w:val="auto"/>
        </w:rPr>
        <w:br w:type="column"/>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12.05%, maturity April 15,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-1699895</wp:posOffset>
            </wp:positionH>
            <wp:positionV relativeFrom="paragraph">
              <wp:posOffset>-217805</wp:posOffset>
            </wp:positionV>
            <wp:extent cx="7012305" cy="2317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12305" cy="231775"/>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16.57%, maturity October 17, 2037)</w:t>
      </w:r>
    </w:p>
    <w:p>
      <w:pPr>
        <w:spacing w:after="0" w:line="17" w:lineRule="exact"/>
        <w:rPr>
          <w:sz w:val="20"/>
          <w:szCs w:val="20"/>
          <w:color w:val="auto"/>
        </w:rPr>
      </w:pP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22.73%, maturity January 19,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-1699895</wp:posOffset>
            </wp:positionH>
            <wp:positionV relativeFrom="paragraph">
              <wp:posOffset>-217805</wp:posOffset>
            </wp:positionV>
            <wp:extent cx="7012305" cy="2311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12305" cy="231140"/>
                    </a:xfrm>
                    <a:prstGeom prst="rect">
                      <a:avLst/>
                    </a:prstGeom>
                    <a:noFill/>
                  </pic:spPr>
                </pic:pic>
              </a:graphicData>
            </a:graphic>
          </wp:anchor>
        </w:drawing>
      </w: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0.84%, maturity June 13, 2031)</w:t>
      </w:r>
    </w:p>
    <w:p>
      <w:pPr>
        <w:spacing w:after="0" w:line="17"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0%, maturity July 25, 2036)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-1699895</wp:posOffset>
            </wp:positionH>
            <wp:positionV relativeFrom="paragraph">
              <wp:posOffset>-217805</wp:posOffset>
            </wp:positionV>
            <wp:extent cx="7012305" cy="2317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12305" cy="231775"/>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10.52%, maturity January 22, 2038)</w:t>
      </w:r>
    </w:p>
    <w:p>
      <w:pPr>
        <w:spacing w:after="0" w:line="17" w:lineRule="exact"/>
        <w:rPr>
          <w:sz w:val="20"/>
          <w:szCs w:val="20"/>
          <w:color w:val="auto"/>
        </w:rPr>
      </w:pP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13.01%, maturity January 20, 2038)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-1699895</wp:posOffset>
            </wp:positionH>
            <wp:positionV relativeFrom="paragraph">
              <wp:posOffset>-217805</wp:posOffset>
            </wp:positionV>
            <wp:extent cx="7012305" cy="2317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12305" cy="231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03/24/25</w:t>
            </w:r>
          </w:p>
        </w:tc>
        <w:tc>
          <w:tcPr>
            <w:tcW w:w="5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4,200</w:t>
            </w:r>
          </w:p>
        </w:tc>
        <w:tc>
          <w:tcPr>
            <w:tcW w:w="3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902</w:t>
            </w:r>
          </w:p>
        </w:tc>
        <w:tc>
          <w:tcPr>
            <w:tcW w:w="3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928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0.41</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08/06/25</w:t>
            </w:r>
          </w:p>
        </w:tc>
        <w:tc>
          <w:tcPr>
            <w:tcW w:w="52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3,690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2,150</w:t>
            </w:r>
          </w:p>
        </w:tc>
        <w:tc>
          <w:tcPr>
            <w:tcW w:w="360" w:type="dxa"/>
            <w:vAlign w:val="bottom"/>
          </w:tcPr>
          <w:p>
            <w:pPr>
              <w:spacing w:after="0"/>
              <w:rPr>
                <w:sz w:val="24"/>
                <w:szCs w:val="24"/>
                <w:color w:val="auto"/>
              </w:rPr>
            </w:pPr>
          </w:p>
        </w:tc>
        <w:tc>
          <w:tcPr>
            <w:tcW w:w="8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2,077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0.92</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07/29/25</w:t>
            </w:r>
          </w:p>
        </w:tc>
        <w:tc>
          <w:tcPr>
            <w:tcW w:w="52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3,074</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1,207</w:t>
            </w:r>
          </w:p>
        </w:tc>
        <w:tc>
          <w:tcPr>
            <w:tcW w:w="360" w:type="dxa"/>
            <w:vAlign w:val="bottom"/>
          </w:tcPr>
          <w:p>
            <w:pPr>
              <w:spacing w:after="0"/>
              <w:rPr>
                <w:sz w:val="24"/>
                <w:szCs w:val="24"/>
                <w:color w:val="auto"/>
              </w:rPr>
            </w:pPr>
          </w:p>
        </w:tc>
        <w:tc>
          <w:tcPr>
            <w:tcW w:w="8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1,055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0.47</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05/16/24</w:t>
            </w:r>
          </w:p>
        </w:tc>
        <w:tc>
          <w:tcPr>
            <w:tcW w:w="52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3,100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78</w:t>
            </w:r>
          </w:p>
        </w:tc>
        <w:tc>
          <w:tcPr>
            <w:tcW w:w="360" w:type="dxa"/>
            <w:vAlign w:val="bottom"/>
          </w:tcPr>
          <w:p>
            <w:pPr>
              <w:spacing w:after="0"/>
              <w:rPr>
                <w:sz w:val="24"/>
                <w:szCs w:val="24"/>
                <w:color w:val="auto"/>
              </w:rPr>
            </w:pPr>
          </w:p>
        </w:tc>
        <w:tc>
          <w:tcPr>
            <w:tcW w:w="8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35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0.02</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06/17/24</w:t>
            </w:r>
          </w:p>
        </w:tc>
        <w:tc>
          <w:tcPr>
            <w:tcW w:w="52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1,670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24"/>
                <w:szCs w:val="24"/>
                <w:color w:val="auto"/>
              </w:rPr>
            </w:pPr>
          </w:p>
        </w:tc>
        <w:tc>
          <w:tcPr>
            <w:tcW w:w="8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30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0.01</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4"/>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07/28/25</w:t>
            </w:r>
          </w:p>
        </w:tc>
        <w:tc>
          <w:tcPr>
            <w:tcW w:w="52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4,171</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1,914</w:t>
            </w:r>
          </w:p>
        </w:tc>
        <w:tc>
          <w:tcPr>
            <w:tcW w:w="360" w:type="dxa"/>
            <w:vAlign w:val="bottom"/>
          </w:tcPr>
          <w:p>
            <w:pPr>
              <w:spacing w:after="0"/>
              <w:rPr>
                <w:sz w:val="24"/>
                <w:szCs w:val="24"/>
                <w:color w:val="auto"/>
              </w:rPr>
            </w:pPr>
          </w:p>
        </w:tc>
        <w:tc>
          <w:tcPr>
            <w:tcW w:w="8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1,834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0.82</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5"/>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7"/>
              </w:rPr>
              <w:t>11/01/24</w:t>
            </w:r>
          </w:p>
        </w:tc>
        <w:tc>
          <w:tcPr>
            <w:tcW w:w="520" w:type="dxa"/>
            <w:vAlign w:val="bottom"/>
          </w:tcPr>
          <w:p>
            <w:pPr>
              <w:spacing w:after="0"/>
              <w:rPr>
                <w:sz w:val="24"/>
                <w:szCs w:val="24"/>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6,600</w:t>
            </w:r>
          </w:p>
        </w:tc>
        <w:tc>
          <w:tcPr>
            <w:tcW w:w="360" w:type="dxa"/>
            <w:vAlign w:val="bottom"/>
          </w:tcPr>
          <w:p>
            <w:pPr>
              <w:spacing w:after="0"/>
              <w:rPr>
                <w:sz w:val="24"/>
                <w:szCs w:val="2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4,643</w:t>
            </w:r>
          </w:p>
        </w:tc>
        <w:tc>
          <w:tcPr>
            <w:tcW w:w="360" w:type="dxa"/>
            <w:vAlign w:val="bottom"/>
          </w:tcPr>
          <w:p>
            <w:pPr>
              <w:spacing w:after="0"/>
              <w:rPr>
                <w:sz w:val="24"/>
                <w:szCs w:val="24"/>
                <w:color w:val="auto"/>
              </w:rPr>
            </w:pPr>
          </w:p>
        </w:tc>
        <w:tc>
          <w:tcPr>
            <w:tcW w:w="8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5,016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200" w:lineRule="exact"/>
        <w:rPr>
          <w:sz w:val="20"/>
          <w:szCs w:val="20"/>
          <w:color w:val="auto"/>
        </w:rPr>
      </w:pPr>
    </w:p>
    <w:p>
      <w:pPr>
        <w:sectPr>
          <w:pgSz w:w="11900" w:h="16838" w:orient="portrait"/>
          <w:cols w:equalWidth="0" w:num="3">
            <w:col w:w="2380" w:space="280"/>
            <w:col w:w="3180" w:space="320"/>
            <w:col w:w="4860"/>
          </w:cols>
          <w:pgMar w:left="440" w:top="968" w:right="439" w:bottom="1440" w:gutter="0" w:footer="0" w:header="0"/>
          <w:type w:val="continuous"/>
        </w:sect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968" w:right="439" w:bottom="1440" w:gutter="0" w:footer="0" w:header="0"/>
          <w:type w:val="continuous"/>
        </w:sectPr>
      </w:pPr>
    </w:p>
    <w:bookmarkStart w:id="15" w:name="page16"/>
    <w:bookmarkEnd w:id="1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SCHEDULE OF INVESTMENTS</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0123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ectPr>
          <w:pgSz w:w="11900" w:h="16838" w:orient="portrait"/>
          <w:cols w:equalWidth="0" w:num="1">
            <w:col w:w="11020"/>
          </w:cols>
          <w:pgMar w:left="440" w:top="968" w:right="439" w:bottom="1440" w:gutter="0" w:footer="0" w:header="0"/>
        </w:sect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Issuer</w:t>
      </w:r>
      <w:r>
        <w:rPr>
          <w:rFonts w:ascii="Times New Roman" w:cs="Times New Roman" w:eastAsia="Times New Roman" w:hAnsi="Times New Roman"/>
          <w:sz w:val="19"/>
          <w:szCs w:val="1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-4445</wp:posOffset>
            </wp:positionV>
            <wp:extent cx="16459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Apidos CLO XLII Ltd (5)</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Ares XLIII CLO Ltd (5)(6)</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Ares XXXIX CLO Ltd (5)</w:t>
      </w:r>
    </w:p>
    <w:p>
      <w:pPr>
        <w:spacing w:after="0" w:line="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Atlas Senior Loan Fund XXIII Ltd</w:t>
      </w:r>
    </w:p>
    <w:p>
      <w:pPr>
        <w:ind w:left="320"/>
        <w:spacing w:after="0"/>
        <w:rPr>
          <w:sz w:val="20"/>
          <w:szCs w:val="20"/>
          <w:color w:val="auto"/>
        </w:rPr>
      </w:pPr>
      <w:r>
        <w:rPr>
          <w:rFonts w:ascii="Times New Roman" w:cs="Times New Roman" w:eastAsia="Times New Roman" w:hAnsi="Times New Roman"/>
          <w:sz w:val="15"/>
          <w:szCs w:val="15"/>
          <w:color w:val="auto"/>
        </w:rPr>
        <w:t>(6)(9)</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Atlas Senior Loan Fund XXIV Ltd</w:t>
      </w:r>
    </w:p>
    <w:p>
      <w:pPr>
        <w:ind w:left="320"/>
        <w:spacing w:after="0"/>
        <w:rPr>
          <w:sz w:val="20"/>
          <w:szCs w:val="20"/>
          <w:color w:val="auto"/>
        </w:rPr>
      </w:pPr>
      <w:r>
        <w:rPr>
          <w:rFonts w:ascii="Times New Roman" w:cs="Times New Roman" w:eastAsia="Times New Roman" w:hAnsi="Times New Roman"/>
          <w:sz w:val="15"/>
          <w:szCs w:val="15"/>
          <w:color w:val="auto"/>
        </w:rPr>
        <w:t>(5)(6)</w:t>
      </w:r>
    </w:p>
    <w:p>
      <w:pPr>
        <w:spacing w:after="0" w:line="28" w:lineRule="exact"/>
        <w:rPr>
          <w:sz w:val="20"/>
          <w:szCs w:val="20"/>
          <w:color w:val="auto"/>
        </w:rPr>
      </w:pPr>
    </w:p>
    <w:p>
      <w:pPr>
        <w:ind w:left="320" w:right="240"/>
        <w:spacing w:after="0" w:line="242" w:lineRule="auto"/>
        <w:rPr>
          <w:sz w:val="20"/>
          <w:szCs w:val="20"/>
          <w:color w:val="auto"/>
        </w:rPr>
      </w:pPr>
      <w:r>
        <w:rPr>
          <w:rFonts w:ascii="Times New Roman" w:cs="Times New Roman" w:eastAsia="Times New Roman" w:hAnsi="Times New Roman"/>
          <w:sz w:val="15"/>
          <w:szCs w:val="15"/>
          <w:color w:val="auto"/>
        </w:rPr>
        <w:t>Bain Capital Credit CLO 2024-3 Ltd (5)(6)(7)</w:t>
      </w:r>
    </w:p>
    <w:p>
      <w:pPr>
        <w:spacing w:after="0" w:line="17" w:lineRule="exact"/>
        <w:rPr>
          <w:sz w:val="20"/>
          <w:szCs w:val="20"/>
          <w:color w:val="auto"/>
        </w:rPr>
      </w:pPr>
    </w:p>
    <w:p>
      <w:pPr>
        <w:ind w:left="320" w:right="140"/>
        <w:spacing w:after="0" w:line="242" w:lineRule="auto"/>
        <w:rPr>
          <w:sz w:val="20"/>
          <w:szCs w:val="20"/>
          <w:color w:val="auto"/>
        </w:rPr>
      </w:pPr>
      <w:r>
        <w:rPr>
          <w:rFonts w:ascii="Times New Roman" w:cs="Times New Roman" w:eastAsia="Times New Roman" w:hAnsi="Times New Roman"/>
          <w:sz w:val="15"/>
          <w:szCs w:val="15"/>
          <w:color w:val="auto"/>
        </w:rPr>
        <w:t>Balboa Bay Loan Funding 2024-2 Ltd (5)(6)(7)(8)</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Battalion CLO IX Ltd (5)(6)</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Battalion CLO XV Ltd (5)(6)</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Battalion CLO XV Ltd (6)(8)</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Battalion CLO XX Ltd (5)(6)</w:t>
      </w:r>
    </w:p>
    <w:p>
      <w:pPr>
        <w:spacing w:after="0" w:line="30" w:lineRule="exact"/>
        <w:rPr>
          <w:sz w:val="20"/>
          <w:szCs w:val="20"/>
          <w:color w:val="auto"/>
        </w:rPr>
      </w:pPr>
    </w:p>
    <w:p>
      <w:pPr>
        <w:ind w:left="320" w:right="200"/>
        <w:spacing w:after="0" w:line="242" w:lineRule="auto"/>
        <w:rPr>
          <w:sz w:val="20"/>
          <w:szCs w:val="20"/>
          <w:color w:val="auto"/>
        </w:rPr>
      </w:pPr>
      <w:r>
        <w:rPr>
          <w:rFonts w:ascii="Times New Roman" w:cs="Times New Roman" w:eastAsia="Times New Roman" w:hAnsi="Times New Roman"/>
          <w:sz w:val="15"/>
          <w:szCs w:val="15"/>
          <w:color w:val="auto"/>
        </w:rPr>
        <w:t>Benefit Street Partners CLO XIV Ltd (5)(6)</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Boyce Park CLO Ltd (5)(6)</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Bridge Street CLO I Ltd (5)(7)(8)</w:t>
      </w:r>
    </w:p>
    <w:p>
      <w:pPr>
        <w:spacing w:after="0" w:line="192"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5"/>
          <w:szCs w:val="15"/>
          <w:color w:val="auto"/>
        </w:rPr>
        <w:t>Bridge Street CLO III Ltd (5)(7)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Bridge Street CLO V Ltd (5)(7)</w:t>
      </w:r>
    </w:p>
    <w:p>
      <w:pPr>
        <w:spacing w:after="0" w:line="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Canyon Capital CLO 2019-1 Ltd</w:t>
      </w:r>
    </w:p>
    <w:p>
      <w:pPr>
        <w:ind w:left="320"/>
        <w:spacing w:after="0"/>
        <w:rPr>
          <w:sz w:val="20"/>
          <w:szCs w:val="20"/>
          <w:color w:val="auto"/>
        </w:rPr>
      </w:pPr>
      <w:r>
        <w:rPr>
          <w:rFonts w:ascii="Times New Roman" w:cs="Times New Roman" w:eastAsia="Times New Roman" w:hAnsi="Times New Roman"/>
          <w:sz w:val="15"/>
          <w:szCs w:val="15"/>
          <w:color w:val="auto"/>
        </w:rPr>
        <w:t>(5)</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Cedar Funding IX CLO Ltd (5)(6)</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CIFC Funding 2014-II Ltd (5)(6)</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CIFC Funding 2018-IV Ltd (5)(6)</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Crown City CLO I (5)(6)</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Crown City CLO II (5)</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Crown City CLO III (5)(6)</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Eaton Vance CLO 2019-1 Ltd (5)(6)</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Elmwood CLO 24 Ltd (5)(6)(7)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Empower CLO 2022-1 Ltd (5)(7)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Generate CLO 2 Ltd (5)</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Generate CLO Ltd. (5)(7)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Greywolf CLO II Ltd (5)(6)</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5"/>
          <w:szCs w:val="15"/>
          <w:b w:val="1"/>
          <w:bCs w:val="1"/>
          <w:color w:val="auto"/>
        </w:rPr>
        <w:t>Investment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24130</wp:posOffset>
            </wp:positionV>
            <wp:extent cx="20656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2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12.2%, maturity April 20, 2038)</w:t>
      </w:r>
    </w:p>
    <w:p>
      <w:pPr>
        <w:spacing w:after="0" w:line="17" w:lineRule="exact"/>
        <w:rPr>
          <w:sz w:val="20"/>
          <w:szCs w:val="20"/>
          <w:color w:val="auto"/>
        </w:rPr>
      </w:pP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12.76%, maturity January 15, 2038)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-217805</wp:posOffset>
            </wp:positionV>
            <wp:extent cx="7012305" cy="2311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12305" cy="231140"/>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13.34%, maturity April 18, 2031)</w:t>
      </w:r>
    </w:p>
    <w:p>
      <w:pPr>
        <w:spacing w:after="0" w:line="17" w:lineRule="exact"/>
        <w:rPr>
          <w:sz w:val="20"/>
          <w:szCs w:val="20"/>
          <w:color w:val="auto"/>
        </w:rPr>
      </w:pP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14.23%, maturity July 20, 2037)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-217805</wp:posOffset>
            </wp:positionV>
            <wp:extent cx="7012305" cy="2311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12305" cy="231140"/>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16.64%, maturity January 20, 2038)</w:t>
      </w:r>
    </w:p>
    <w:p>
      <w:pPr>
        <w:spacing w:after="0" w:line="1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12.2%, maturity July 16, 2037)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-217805</wp:posOffset>
            </wp:positionV>
            <wp:extent cx="7012305" cy="2317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12305" cy="231775"/>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12.18%, maturity January 20, 2038)</w:t>
      </w:r>
    </w:p>
    <w:p>
      <w:pPr>
        <w:spacing w:after="0" w:line="1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5"/>
          <w:szCs w:val="15"/>
          <w:color w:val="auto"/>
        </w:rPr>
        <w:t>Income Note, (effective yield 34.01%, maturity July 15,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-217805</wp:posOffset>
            </wp:positionV>
            <wp:extent cx="7012305" cy="2311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12305" cy="231140"/>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21.81%, maturity January 17, 2033)</w:t>
      </w:r>
    </w:p>
    <w:p>
      <w:pPr>
        <w:spacing w:after="0" w:line="17" w:lineRule="exact"/>
        <w:rPr>
          <w:sz w:val="20"/>
          <w:szCs w:val="20"/>
          <w:color w:val="auto"/>
        </w:rPr>
      </w:pP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21.99%, maturity January 17,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-217805</wp:posOffset>
            </wp:positionV>
            <wp:extent cx="7012305" cy="2311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12305" cy="231140"/>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13.67%, maturity April 15, 2038)</w:t>
      </w:r>
    </w:p>
    <w:p>
      <w:pPr>
        <w:spacing w:after="0" w:line="17" w:lineRule="exact"/>
        <w:rPr>
          <w:sz w:val="20"/>
          <w:szCs w:val="20"/>
          <w:color w:val="auto"/>
        </w:rPr>
      </w:pP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18.73%, maturity October 20, 2037)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-217805</wp:posOffset>
            </wp:positionV>
            <wp:extent cx="7012305" cy="2311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12305" cy="231140"/>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11.25%, maturity April 21, 2035)</w:t>
      </w:r>
    </w:p>
    <w:p>
      <w:pPr>
        <w:spacing w:after="0" w:line="17" w:lineRule="exact"/>
        <w:rPr>
          <w:sz w:val="20"/>
          <w:szCs w:val="20"/>
          <w:color w:val="auto"/>
        </w:rPr>
      </w:pP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13.83%, maturity July 20, 2037)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-217805</wp:posOffset>
            </wp:positionV>
            <wp:extent cx="7012305" cy="2311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12305" cy="231140"/>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14.16%, maturity October 20, 2034)</w:t>
      </w:r>
    </w:p>
    <w:p>
      <w:pPr>
        <w:spacing w:after="0" w:line="1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14.3%, maturity April 20, 2038)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-217805</wp:posOffset>
            </wp:positionV>
            <wp:extent cx="7012305" cy="2317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12305" cy="231775"/>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14.16%, maturity July 15, 2037)</w:t>
      </w:r>
    </w:p>
    <w:p>
      <w:pPr>
        <w:spacing w:after="0" w:line="17" w:lineRule="exact"/>
        <w:rPr>
          <w:sz w:val="20"/>
          <w:szCs w:val="20"/>
          <w:color w:val="auto"/>
        </w:rPr>
      </w:pP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14.93%, maturity July 20, 2037)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-217805</wp:posOffset>
            </wp:positionV>
            <wp:extent cx="7012305" cy="2317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12305" cy="231775"/>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20.02%, maturity April 24, 2030)</w:t>
      </w:r>
    </w:p>
    <w:p>
      <w:pPr>
        <w:spacing w:after="0" w:line="17" w:lineRule="exact"/>
        <w:rPr>
          <w:sz w:val="20"/>
          <w:szCs w:val="20"/>
          <w:color w:val="auto"/>
        </w:rPr>
      </w:pP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15.33%, maturity October 17,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-217805</wp:posOffset>
            </wp:positionV>
            <wp:extent cx="7012305" cy="2317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12305" cy="231775"/>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11.52%, maturity July 20, 2038)</w:t>
      </w:r>
    </w:p>
    <w:p>
      <w:pPr>
        <w:spacing w:after="0" w:line="17" w:lineRule="exact"/>
        <w:rPr>
          <w:sz w:val="20"/>
          <w:szCs w:val="20"/>
          <w:color w:val="auto"/>
        </w:rPr>
      </w:pP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15.56%, maturity April 20,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-217805</wp:posOffset>
            </wp:positionV>
            <wp:extent cx="7012305" cy="2317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12305" cy="231775"/>
                    </a:xfrm>
                    <a:prstGeom prst="rect">
                      <a:avLst/>
                    </a:prstGeom>
                    <a:noFill/>
                  </pic:spPr>
                </pic:pic>
              </a:graphicData>
            </a:graphic>
          </wp:anchor>
        </w:drawing>
      </w: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9.35%, maturity July 20, 2034)</w:t>
      </w:r>
    </w:p>
    <w:p>
      <w:pPr>
        <w:spacing w:after="0" w:line="17" w:lineRule="exact"/>
        <w:rPr>
          <w:sz w:val="20"/>
          <w:szCs w:val="20"/>
          <w:color w:val="auto"/>
        </w:rPr>
      </w:pP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12.13%, maturity April 15,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-217805</wp:posOffset>
            </wp:positionV>
            <wp:extent cx="7012305" cy="2317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12305" cy="231775"/>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15.99%, maturity December 11, 2033)</w:t>
      </w:r>
    </w:p>
    <w:p>
      <w:pPr>
        <w:spacing w:after="0" w:line="17" w:lineRule="exact"/>
        <w:rPr>
          <w:sz w:val="20"/>
          <w:szCs w:val="20"/>
          <w:color w:val="auto"/>
        </w:rPr>
      </w:pP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17.38%, maturity October 20, 2037)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-217805</wp:posOffset>
            </wp:positionV>
            <wp:extent cx="7012305" cy="2317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12305" cy="231775"/>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11.04%, maturity October 22, 2037)</w:t>
      </w:r>
    </w:p>
    <w:p>
      <w:pPr>
        <w:spacing w:after="0" w:line="17" w:lineRule="exact"/>
        <w:rPr>
          <w:sz w:val="20"/>
          <w:szCs w:val="20"/>
          <w:color w:val="auto"/>
        </w:rPr>
      </w:pP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13.72%, maturity October 20, 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-217805</wp:posOffset>
            </wp:positionV>
            <wp:extent cx="7012305" cy="2311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12305" cy="231140"/>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12.73%, maturity April 15, 2034)</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Acquisition</w:t>
            </w:r>
          </w:p>
        </w:tc>
        <w:tc>
          <w:tcPr>
            <w:tcW w:w="16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Principal</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 of Net</w:t>
            </w:r>
          </w:p>
        </w:tc>
      </w:tr>
      <w:tr>
        <w:trPr>
          <w:trHeight w:val="216"/>
        </w:trPr>
        <w:tc>
          <w:tcPr>
            <w:tcW w:w="1060" w:type="dxa"/>
            <w:vAlign w:val="bottom"/>
            <w:gridSpan w:val="2"/>
          </w:tcPr>
          <w:p>
            <w:pPr>
              <w:jc w:val="center"/>
              <w:ind w:right="80"/>
              <w:spacing w:after="0" w:line="216" w:lineRule="exact"/>
              <w:rPr>
                <w:sz w:val="20"/>
                <w:szCs w:val="20"/>
                <w:color w:val="auto"/>
              </w:rPr>
            </w:pPr>
            <w:r>
              <w:rPr>
                <w:rFonts w:ascii="Times New Roman" w:cs="Times New Roman" w:eastAsia="Times New Roman" w:hAnsi="Times New Roman"/>
                <w:sz w:val="15"/>
                <w:szCs w:val="15"/>
                <w:b w:val="1"/>
                <w:bCs w:val="1"/>
                <w:color w:val="auto"/>
                <w:w w:val="93"/>
              </w:rPr>
              <w:t>Date</w:t>
            </w:r>
            <w:r>
              <w:rPr>
                <w:rFonts w:ascii="Times New Roman" w:cs="Times New Roman" w:eastAsia="Times New Roman" w:hAnsi="Times New Roman"/>
                <w:sz w:val="19"/>
                <w:szCs w:val="19"/>
                <w:b w:val="1"/>
                <w:bCs w:val="1"/>
                <w:color w:val="auto"/>
                <w:w w:val="93"/>
                <w:vertAlign w:val="superscript"/>
              </w:rPr>
              <w:t>(2)</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Amount/Shares</w:t>
            </w:r>
          </w:p>
        </w:tc>
        <w:tc>
          <w:tcPr>
            <w:tcW w:w="200" w:type="dxa"/>
            <w:vAlign w:val="bottom"/>
          </w:tcPr>
          <w:p>
            <w:pPr>
              <w:spacing w:after="0"/>
              <w:rPr>
                <w:sz w:val="18"/>
                <w:szCs w:val="18"/>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Cost</w:t>
            </w:r>
          </w:p>
        </w:tc>
        <w:tc>
          <w:tcPr>
            <w:tcW w:w="100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15"/>
                <w:szCs w:val="15"/>
                <w:b w:val="1"/>
                <w:bCs w:val="1"/>
                <w:color w:val="auto"/>
              </w:rPr>
              <w:t>Fair Value</w:t>
            </w:r>
            <w:r>
              <w:rPr>
                <w:rFonts w:ascii="Times New Roman" w:cs="Times New Roman" w:eastAsia="Times New Roman" w:hAnsi="Times New Roman"/>
                <w:sz w:val="19"/>
                <w:szCs w:val="19"/>
                <w:b w:val="1"/>
                <w:bCs w:val="1"/>
                <w:color w:val="auto"/>
                <w:vertAlign w:val="superscript"/>
              </w:rPr>
              <w:t>(3)</w:t>
            </w:r>
          </w:p>
        </w:tc>
        <w:tc>
          <w:tcPr>
            <w:tcW w:w="880" w:type="dxa"/>
            <w:vAlign w:val="bottom"/>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Assets</w:t>
            </w:r>
          </w:p>
        </w:tc>
      </w:tr>
      <w:tr>
        <w:trPr>
          <w:trHeight w:val="350"/>
        </w:trPr>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05/06/25</w:t>
            </w:r>
          </w:p>
        </w:tc>
        <w:tc>
          <w:tcPr>
            <w:tcW w:w="80" w:type="dxa"/>
            <w:vAlign w:val="bottom"/>
          </w:tcPr>
          <w:p>
            <w:pPr>
              <w:spacing w:after="0"/>
              <w:rPr>
                <w:sz w:val="24"/>
                <w:szCs w:val="24"/>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1,070</w:t>
            </w:r>
          </w:p>
        </w:tc>
        <w:tc>
          <w:tcPr>
            <w:tcW w:w="80" w:type="dxa"/>
            <w:vAlign w:val="bottom"/>
          </w:tcPr>
          <w:p>
            <w:pPr>
              <w:spacing w:after="0"/>
              <w:rPr>
                <w:sz w:val="24"/>
                <w:szCs w:val="24"/>
                <w:color w:val="auto"/>
              </w:rPr>
            </w:pPr>
          </w:p>
        </w:tc>
        <w:tc>
          <w:tcPr>
            <w:tcW w:w="20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849</w:t>
            </w:r>
          </w:p>
        </w:tc>
        <w:tc>
          <w:tcPr>
            <w:tcW w:w="80" w:type="dxa"/>
            <w:vAlign w:val="bottom"/>
          </w:tcPr>
          <w:p>
            <w:pPr>
              <w:spacing w:after="0"/>
              <w:rPr>
                <w:sz w:val="24"/>
                <w:szCs w:val="24"/>
                <w:color w:val="auto"/>
              </w:rPr>
            </w:pPr>
          </w:p>
        </w:tc>
        <w:tc>
          <w:tcPr>
            <w:tcW w:w="260" w:type="dxa"/>
            <w:vAlign w:val="bottom"/>
            <w:tcBorders>
              <w:top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878</w:t>
            </w:r>
          </w:p>
        </w:tc>
        <w:tc>
          <w:tcPr>
            <w:tcW w:w="80" w:type="dxa"/>
            <w:vAlign w:val="bottom"/>
          </w:tcPr>
          <w:p>
            <w:pPr>
              <w:spacing w:after="0"/>
              <w:rPr>
                <w:sz w:val="24"/>
                <w:szCs w:val="2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0.39 %</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04/01/25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7,519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2,036</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0.91 %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07/24/24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4,808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4,875</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2.17 %</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01/13/25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4,475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2,047</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0.91 %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01/31/25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3,010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1,782</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0.79 %</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05/29/24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4,490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2,816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2,773</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1.23 %</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12/11/24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4,939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4,988</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2.22 %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09/24/24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70</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0.03 %</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11/21/24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560</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0.25 %</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09/24/24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1,148</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0.51 %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10/19/23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3,140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875</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0.39 %</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12/21/23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219</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0.10 %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08/15/24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395</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0.18 %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02/19/25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1,968</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0.88 %</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01/31/25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1,058</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0.47 %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02/21/25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15,452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15,375</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6.83 %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09/20/24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14,423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6,211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6,490</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2.89 %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01/17/25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1,302</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0.58 %</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04/02/25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961</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0.43 %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06/11/25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2,220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788</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0.35 %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11/07/23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6,850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2,038</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0.91 %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08/21/24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5,217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1,930</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0.86 %</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03/21/24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5,580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1,702</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0.76 %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01/23/25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657</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0.29 %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02/27/25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5,651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5,000</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2.22 %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10/30/24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13,620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10,716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10,045</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4.46 %</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03/18/25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1,600</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0.71 %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08/04/25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5,550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3,064</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1.36 %</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04/03/24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349</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0.16 %</w:t>
            </w:r>
          </w:p>
        </w:tc>
      </w:tr>
    </w:tbl>
    <w:p>
      <w:pPr>
        <w:spacing w:after="0" w:line="200" w:lineRule="exact"/>
        <w:rPr>
          <w:sz w:val="20"/>
          <w:szCs w:val="20"/>
          <w:color w:val="auto"/>
        </w:rPr>
      </w:pPr>
    </w:p>
    <w:p>
      <w:pPr>
        <w:sectPr>
          <w:pgSz w:w="11900" w:h="16838" w:orient="portrait"/>
          <w:cols w:equalWidth="0" w:num="3">
            <w:col w:w="2560" w:space="120"/>
            <w:col w:w="3180" w:space="120"/>
            <w:col w:w="5040"/>
          </w:cols>
          <w:pgMar w:left="440" w:top="968" w:right="439" w:bottom="1440" w:gutter="0" w:footer="0" w:header="0"/>
          <w:type w:val="continuous"/>
        </w:sect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968" w:right="4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SCHEDULE OF INVESTMENTS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48895</wp:posOffset>
            </wp:positionV>
            <wp:extent cx="70123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ectPr>
          <w:pgSz w:w="11900" w:h="16838" w:orient="portrait"/>
          <w:cols w:equalWidth="0" w:num="1">
            <w:col w:w="11040"/>
          </w:cols>
          <w:pgMar w:left="420" w:top="968" w:right="439" w:bottom="1440" w:gutter="0" w:footer="0" w:header="0"/>
        </w:sect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Issuer</w:t>
            </w:r>
            <w:r>
              <w:rPr>
                <w:rFonts w:ascii="Times New Roman" w:cs="Times New Roman" w:eastAsia="Times New Roman" w:hAnsi="Times New Roman"/>
                <w:sz w:val="19"/>
                <w:szCs w:val="19"/>
                <w:b w:val="1"/>
                <w:bCs w:val="1"/>
                <w:color w:val="auto"/>
                <w:vertAlign w:val="superscript"/>
              </w:rPr>
              <w:t>(1)</w:t>
            </w:r>
          </w:p>
        </w:tc>
        <w:tc>
          <w:tcPr>
            <w:tcW w:w="3240" w:type="dxa"/>
            <w:vAlign w:val="bottom"/>
          </w:tcPr>
          <w:p>
            <w:pPr>
              <w:ind w:left="860"/>
              <w:spacing w:after="0"/>
              <w:rPr>
                <w:sz w:val="20"/>
                <w:szCs w:val="20"/>
                <w:color w:val="auto"/>
              </w:rPr>
            </w:pPr>
            <w:r>
              <w:rPr>
                <w:rFonts w:ascii="Times New Roman" w:cs="Times New Roman" w:eastAsia="Times New Roman" w:hAnsi="Times New Roman"/>
                <w:sz w:val="15"/>
                <w:szCs w:val="15"/>
                <w:b w:val="1"/>
                <w:bCs w:val="1"/>
                <w:color w:val="auto"/>
              </w:rPr>
              <w:t>Investment Description</w:t>
            </w:r>
          </w:p>
        </w:tc>
      </w:tr>
      <w:tr>
        <w:trPr>
          <w:trHeight w:val="142"/>
        </w:trPr>
        <w:tc>
          <w:tcPr>
            <w:tcW w:w="2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4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5"/>
                <w:szCs w:val="15"/>
                <w:color w:val="auto"/>
              </w:rPr>
              <w:t>Subordinated Note, (effective yield 14.62%,</w:t>
            </w:r>
          </w:p>
        </w:tc>
      </w:tr>
      <w:tr>
        <w:trPr>
          <w:trHeight w:val="208"/>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Greywolf CLO II Ltd (5)(6)</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April 15, 2034)</w:t>
            </w:r>
          </w:p>
        </w:tc>
      </w:tr>
      <w:tr>
        <w:trPr>
          <w:trHeight w:val="157"/>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Subordinated Note, (effective yield 14.62%,</w:t>
            </w:r>
          </w:p>
        </w:tc>
      </w:tr>
      <w:tr>
        <w:trPr>
          <w:trHeight w:val="208"/>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Greywolf CLO II Ltd (6)</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April 15, 2034)</w:t>
            </w:r>
          </w:p>
        </w:tc>
      </w:tr>
      <w:tr>
        <w:trPr>
          <w:trHeight w:val="157"/>
        </w:trPr>
        <w:tc>
          <w:tcPr>
            <w:tcW w:w="2700" w:type="dxa"/>
            <w:vAlign w:val="bottom"/>
            <w:gridSpan w:val="2"/>
          </w:tcPr>
          <w:p>
            <w:pPr>
              <w:ind w:left="340"/>
              <w:spacing w:after="0" w:line="156" w:lineRule="exact"/>
              <w:rPr>
                <w:sz w:val="20"/>
                <w:szCs w:val="20"/>
                <w:color w:val="auto"/>
              </w:rPr>
            </w:pPr>
            <w:r>
              <w:rPr>
                <w:rFonts w:ascii="Times New Roman" w:cs="Times New Roman" w:eastAsia="Times New Roman" w:hAnsi="Times New Roman"/>
                <w:sz w:val="15"/>
                <w:szCs w:val="15"/>
                <w:color w:val="auto"/>
              </w:rPr>
              <w:t>HPS Loan Management 2025-24</w:t>
            </w: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Subordinated Note, (effective yield 12.54%,</w:t>
            </w:r>
          </w:p>
        </w:tc>
      </w:tr>
      <w:tr>
        <w:trPr>
          <w:trHeight w:val="198"/>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Ltd (5)(6)(7)</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April 25, 2038)</w:t>
            </w:r>
          </w:p>
        </w:tc>
      </w:tr>
      <w:tr>
        <w:trPr>
          <w:trHeight w:val="166"/>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4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Subordinated Note, (effective yield 20.15%,</w:t>
            </w:r>
          </w:p>
        </w:tc>
      </w:tr>
      <w:tr>
        <w:trPr>
          <w:trHeight w:val="208"/>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ICG US CLO 2021-3 Ltd (5)(6)</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October 20, 2034)</w:t>
            </w:r>
          </w:p>
        </w:tc>
      </w:tr>
      <w:tr>
        <w:trPr>
          <w:trHeight w:val="157"/>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Subordinated Note, (effective yield 4.37%, maturity</w:t>
            </w:r>
          </w:p>
        </w:tc>
      </w:tr>
      <w:tr>
        <w:trPr>
          <w:trHeight w:val="208"/>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KKR CLO 14 Ltd (6)</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August 15, 2031)</w:t>
            </w:r>
          </w:p>
        </w:tc>
      </w:tr>
      <w:tr>
        <w:trPr>
          <w:trHeight w:val="157"/>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Income Note, (effective yield 15.34%, maturity July</w:t>
            </w:r>
          </w:p>
        </w:tc>
      </w:tr>
      <w:tr>
        <w:trPr>
          <w:trHeight w:val="208"/>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LCM 32 Ltd (5)(6)</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20, 2034)</w:t>
            </w:r>
          </w:p>
        </w:tc>
      </w:tr>
      <w:tr>
        <w:trPr>
          <w:trHeight w:val="157"/>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Income Note, (effective yield 13.05%, maturity</w:t>
            </w:r>
          </w:p>
        </w:tc>
      </w:tr>
      <w:tr>
        <w:trPr>
          <w:trHeight w:val="208"/>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LCM Ltd Partnership (5)</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January 15, 2036)</w:t>
            </w:r>
          </w:p>
        </w:tc>
      </w:tr>
      <w:tr>
        <w:trPr>
          <w:trHeight w:val="157"/>
        </w:trPr>
        <w:tc>
          <w:tcPr>
            <w:tcW w:w="2700" w:type="dxa"/>
            <w:vAlign w:val="bottom"/>
            <w:gridSpan w:val="2"/>
          </w:tcPr>
          <w:p>
            <w:pPr>
              <w:ind w:left="340"/>
              <w:spacing w:after="0" w:line="156" w:lineRule="exact"/>
              <w:rPr>
                <w:sz w:val="20"/>
                <w:szCs w:val="20"/>
                <w:color w:val="auto"/>
              </w:rPr>
            </w:pPr>
            <w:r>
              <w:rPr>
                <w:rFonts w:ascii="Times New Roman" w:cs="Times New Roman" w:eastAsia="Times New Roman" w:hAnsi="Times New Roman"/>
                <w:sz w:val="15"/>
                <w:szCs w:val="15"/>
                <w:color w:val="auto"/>
              </w:rPr>
              <w:t>Madison Park Funding LIX Ltd (5)</w:t>
            </w: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Subordinated Note, (effective yield 16.72%,</w:t>
            </w:r>
          </w:p>
        </w:tc>
      </w:tr>
      <w:tr>
        <w:trPr>
          <w:trHeight w:val="198"/>
        </w:trPr>
        <w:tc>
          <w:tcPr>
            <w:tcW w:w="26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tcPr>
          <w:p>
            <w:pPr>
              <w:spacing w:after="0"/>
              <w:rPr>
                <w:sz w:val="17"/>
                <w:szCs w:val="17"/>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April 18, 2037)</w:t>
            </w:r>
          </w:p>
        </w:tc>
      </w:tr>
      <w:tr>
        <w:trPr>
          <w:trHeight w:val="166"/>
        </w:trPr>
        <w:tc>
          <w:tcPr>
            <w:tcW w:w="2700" w:type="dxa"/>
            <w:vAlign w:val="bottom"/>
            <w:gridSpan w:val="2"/>
          </w:tcPr>
          <w:p>
            <w:pPr>
              <w:ind w:left="340"/>
              <w:spacing w:after="0" w:line="167" w:lineRule="exact"/>
              <w:rPr>
                <w:sz w:val="20"/>
                <w:szCs w:val="20"/>
                <w:color w:val="auto"/>
              </w:rPr>
            </w:pPr>
            <w:r>
              <w:rPr>
                <w:rFonts w:ascii="Times New Roman" w:cs="Times New Roman" w:eastAsia="Times New Roman" w:hAnsi="Times New Roman"/>
                <w:sz w:val="15"/>
                <w:szCs w:val="15"/>
                <w:color w:val="auto"/>
              </w:rPr>
              <w:t>Madison Park Funding XIX Ltd (5)</w:t>
            </w:r>
          </w:p>
        </w:tc>
        <w:tc>
          <w:tcPr>
            <w:tcW w:w="324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Subordinated Note, (effective yield 21.96%,</w:t>
            </w:r>
          </w:p>
        </w:tc>
      </w:tr>
      <w:tr>
        <w:trPr>
          <w:trHeight w:val="198"/>
        </w:trPr>
        <w:tc>
          <w:tcPr>
            <w:tcW w:w="26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(6)</w:t>
            </w:r>
          </w:p>
        </w:tc>
        <w:tc>
          <w:tcPr>
            <w:tcW w:w="80" w:type="dxa"/>
            <w:vAlign w:val="bottom"/>
          </w:tcPr>
          <w:p>
            <w:pPr>
              <w:spacing w:after="0"/>
              <w:rPr>
                <w:sz w:val="17"/>
                <w:szCs w:val="17"/>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January 22, 2037)</w:t>
            </w:r>
          </w:p>
        </w:tc>
      </w:tr>
      <w:tr>
        <w:trPr>
          <w:trHeight w:val="166"/>
        </w:trPr>
        <w:tc>
          <w:tcPr>
            <w:tcW w:w="2700" w:type="dxa"/>
            <w:vAlign w:val="bottom"/>
            <w:gridSpan w:val="2"/>
          </w:tcPr>
          <w:p>
            <w:pPr>
              <w:ind w:left="340"/>
              <w:spacing w:after="0" w:line="167" w:lineRule="exact"/>
              <w:rPr>
                <w:sz w:val="20"/>
                <w:szCs w:val="20"/>
                <w:color w:val="auto"/>
              </w:rPr>
            </w:pPr>
            <w:r>
              <w:rPr>
                <w:rFonts w:ascii="Times New Roman" w:cs="Times New Roman" w:eastAsia="Times New Roman" w:hAnsi="Times New Roman"/>
                <w:sz w:val="15"/>
                <w:szCs w:val="15"/>
                <w:color w:val="auto"/>
              </w:rPr>
              <w:t>Madison Park Funding XXVIII Ltd</w:t>
            </w:r>
          </w:p>
        </w:tc>
        <w:tc>
          <w:tcPr>
            <w:tcW w:w="324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Subordinated Note, (effective yield 17.39%,</w:t>
            </w:r>
          </w:p>
        </w:tc>
      </w:tr>
      <w:tr>
        <w:trPr>
          <w:trHeight w:val="198"/>
        </w:trPr>
        <w:tc>
          <w:tcPr>
            <w:tcW w:w="26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(5)</w:t>
            </w:r>
          </w:p>
        </w:tc>
        <w:tc>
          <w:tcPr>
            <w:tcW w:w="80" w:type="dxa"/>
            <w:vAlign w:val="bottom"/>
          </w:tcPr>
          <w:p>
            <w:pPr>
              <w:spacing w:after="0"/>
              <w:rPr>
                <w:sz w:val="17"/>
                <w:szCs w:val="17"/>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July 15, 2030)</w:t>
            </w:r>
          </w:p>
        </w:tc>
      </w:tr>
      <w:tr>
        <w:trPr>
          <w:trHeight w:val="166"/>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4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Subordinated Note, (effective yield 17.89%,</w:t>
            </w:r>
          </w:p>
        </w:tc>
      </w:tr>
      <w:tr>
        <w:trPr>
          <w:trHeight w:val="208"/>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Magnetite XXX Ltd (5)(7)</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October 25, 2037)</w:t>
            </w:r>
          </w:p>
        </w:tc>
      </w:tr>
      <w:tr>
        <w:trPr>
          <w:trHeight w:val="157"/>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Income Note, (effective yield 9.3%, maturity April</w:t>
            </w:r>
          </w:p>
        </w:tc>
      </w:tr>
      <w:tr>
        <w:trPr>
          <w:trHeight w:val="208"/>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Marble Point CLO XX Ltd (5)(6)</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23, 2051)</w:t>
            </w:r>
          </w:p>
        </w:tc>
      </w:tr>
      <w:tr>
        <w:trPr>
          <w:trHeight w:val="157"/>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Subordinated Note, (effective yield 12.04%,</w:t>
            </w:r>
          </w:p>
        </w:tc>
      </w:tr>
      <w:tr>
        <w:trPr>
          <w:trHeight w:val="208"/>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Marble Point CLO XXII Ltd (6)</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July 25, 2050)</w:t>
            </w:r>
          </w:p>
        </w:tc>
      </w:tr>
      <w:tr>
        <w:trPr>
          <w:trHeight w:val="157"/>
        </w:trPr>
        <w:tc>
          <w:tcPr>
            <w:tcW w:w="2700" w:type="dxa"/>
            <w:vAlign w:val="bottom"/>
            <w:gridSpan w:val="2"/>
          </w:tcPr>
          <w:p>
            <w:pPr>
              <w:ind w:left="340"/>
              <w:spacing w:after="0" w:line="156" w:lineRule="exact"/>
              <w:rPr>
                <w:sz w:val="20"/>
                <w:szCs w:val="20"/>
                <w:color w:val="auto"/>
              </w:rPr>
            </w:pPr>
            <w:r>
              <w:rPr>
                <w:rFonts w:ascii="Times New Roman" w:cs="Times New Roman" w:eastAsia="Times New Roman" w:hAnsi="Times New Roman"/>
                <w:sz w:val="15"/>
                <w:szCs w:val="15"/>
                <w:color w:val="auto"/>
              </w:rPr>
              <w:t>Monroe Capital MML CLO VI Ltd</w:t>
            </w: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Subordinated Note, (effective yield 48.16%,</w:t>
            </w:r>
          </w:p>
        </w:tc>
      </w:tr>
      <w:tr>
        <w:trPr>
          <w:trHeight w:val="198"/>
        </w:trPr>
        <w:tc>
          <w:tcPr>
            <w:tcW w:w="26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(5)(6)</w:t>
            </w:r>
          </w:p>
        </w:tc>
        <w:tc>
          <w:tcPr>
            <w:tcW w:w="80" w:type="dxa"/>
            <w:vAlign w:val="bottom"/>
          </w:tcPr>
          <w:p>
            <w:pPr>
              <w:spacing w:after="0"/>
              <w:rPr>
                <w:sz w:val="17"/>
                <w:szCs w:val="17"/>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April 15, 2030)</w:t>
            </w:r>
          </w:p>
        </w:tc>
      </w:tr>
      <w:tr>
        <w:trPr>
          <w:trHeight w:val="166"/>
        </w:trPr>
        <w:tc>
          <w:tcPr>
            <w:tcW w:w="2700" w:type="dxa"/>
            <w:vAlign w:val="bottom"/>
            <w:gridSpan w:val="2"/>
          </w:tcPr>
          <w:p>
            <w:pPr>
              <w:ind w:left="340"/>
              <w:spacing w:after="0" w:line="167" w:lineRule="exact"/>
              <w:rPr>
                <w:sz w:val="20"/>
                <w:szCs w:val="20"/>
                <w:color w:val="auto"/>
              </w:rPr>
            </w:pPr>
            <w:r>
              <w:rPr>
                <w:rFonts w:ascii="Times New Roman" w:cs="Times New Roman" w:eastAsia="Times New Roman" w:hAnsi="Times New Roman"/>
                <w:sz w:val="15"/>
                <w:szCs w:val="15"/>
                <w:color w:val="auto"/>
              </w:rPr>
              <w:t>Mountain View CLO 2017-2 LLC</w:t>
            </w:r>
          </w:p>
        </w:tc>
        <w:tc>
          <w:tcPr>
            <w:tcW w:w="324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Subordinated Note, (effective yield 0%, maturity</w:t>
            </w:r>
          </w:p>
        </w:tc>
      </w:tr>
      <w:tr>
        <w:trPr>
          <w:trHeight w:val="198"/>
        </w:trPr>
        <w:tc>
          <w:tcPr>
            <w:tcW w:w="26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(6)(9)</w:t>
            </w:r>
          </w:p>
        </w:tc>
        <w:tc>
          <w:tcPr>
            <w:tcW w:w="80" w:type="dxa"/>
            <w:vAlign w:val="bottom"/>
          </w:tcPr>
          <w:p>
            <w:pPr>
              <w:spacing w:after="0"/>
              <w:rPr>
                <w:sz w:val="17"/>
                <w:szCs w:val="17"/>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January 16, 2031)</w:t>
            </w:r>
          </w:p>
        </w:tc>
      </w:tr>
      <w:tr>
        <w:trPr>
          <w:trHeight w:val="166"/>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4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Subordinated Note, (effective yield 0%, maturity</w:t>
            </w:r>
          </w:p>
        </w:tc>
      </w:tr>
      <w:tr>
        <w:trPr>
          <w:trHeight w:val="208"/>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Nassau 2018-II Ltd (5)(6)(9)</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October 15, 2031)</w:t>
            </w:r>
          </w:p>
        </w:tc>
      </w:tr>
      <w:tr>
        <w:trPr>
          <w:trHeight w:val="157"/>
        </w:trPr>
        <w:tc>
          <w:tcPr>
            <w:tcW w:w="2700" w:type="dxa"/>
            <w:vAlign w:val="bottom"/>
            <w:gridSpan w:val="2"/>
          </w:tcPr>
          <w:p>
            <w:pPr>
              <w:ind w:left="340"/>
              <w:spacing w:after="0" w:line="156" w:lineRule="exact"/>
              <w:rPr>
                <w:sz w:val="20"/>
                <w:szCs w:val="20"/>
                <w:color w:val="auto"/>
              </w:rPr>
            </w:pPr>
            <w:r>
              <w:rPr>
                <w:rFonts w:ascii="Times New Roman" w:cs="Times New Roman" w:eastAsia="Times New Roman" w:hAnsi="Times New Roman"/>
                <w:sz w:val="15"/>
                <w:szCs w:val="15"/>
                <w:color w:val="auto"/>
              </w:rPr>
              <w:t>Neuberger Berman CLO XVII Ltd</w:t>
            </w: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Subordinated Note, (effective yield 17.69%,</w:t>
            </w:r>
          </w:p>
        </w:tc>
      </w:tr>
      <w:tr>
        <w:trPr>
          <w:trHeight w:val="198"/>
        </w:trPr>
        <w:tc>
          <w:tcPr>
            <w:tcW w:w="26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(5)(6)</w:t>
            </w:r>
          </w:p>
        </w:tc>
        <w:tc>
          <w:tcPr>
            <w:tcW w:w="80" w:type="dxa"/>
            <w:vAlign w:val="bottom"/>
          </w:tcPr>
          <w:p>
            <w:pPr>
              <w:spacing w:after="0"/>
              <w:rPr>
                <w:sz w:val="17"/>
                <w:szCs w:val="17"/>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July 22, 2037)</w:t>
            </w:r>
          </w:p>
        </w:tc>
      </w:tr>
      <w:tr>
        <w:trPr>
          <w:trHeight w:val="166"/>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4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Subordinated Note, (effective yield 17.98%,</w:t>
            </w:r>
          </w:p>
        </w:tc>
      </w:tr>
      <w:tr>
        <w:trPr>
          <w:trHeight w:val="208"/>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New Mountain CLO 2 Ltd (5)(6)</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April 15, 2034)</w:t>
            </w:r>
          </w:p>
        </w:tc>
      </w:tr>
      <w:tr>
        <w:trPr>
          <w:trHeight w:val="157"/>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Subordinated Note, (effective yield 15.41%,</w:t>
            </w:r>
          </w:p>
        </w:tc>
      </w:tr>
      <w:tr>
        <w:trPr>
          <w:trHeight w:val="208"/>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Oak Hill Credit (5)(6)</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April 20, 2038)</w:t>
            </w:r>
          </w:p>
        </w:tc>
      </w:tr>
      <w:tr>
        <w:trPr>
          <w:trHeight w:val="157"/>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Subordinated Note, (effective yield 11.72%,</w:t>
            </w:r>
          </w:p>
        </w:tc>
      </w:tr>
      <w:tr>
        <w:trPr>
          <w:trHeight w:val="208"/>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Oaktree CLO 2019-4 Ltd (5)(6)(7)</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July 20, 2037)</w:t>
            </w:r>
          </w:p>
        </w:tc>
      </w:tr>
      <w:tr>
        <w:trPr>
          <w:trHeight w:val="157"/>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Subordinated Note, (effective yield 14.18%,</w:t>
            </w:r>
          </w:p>
        </w:tc>
      </w:tr>
      <w:tr>
        <w:trPr>
          <w:trHeight w:val="208"/>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Oaktree CLO 2020-1 Ltd (5)(6)(7)</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January 15, 2038)</w:t>
            </w:r>
          </w:p>
        </w:tc>
      </w:tr>
      <w:tr>
        <w:trPr>
          <w:trHeight w:val="157"/>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Subordinated Note, (effective yield 11.91%,</w:t>
            </w:r>
          </w:p>
        </w:tc>
      </w:tr>
      <w:tr>
        <w:trPr>
          <w:trHeight w:val="208"/>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Oaktree CLO Ltd (5)</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January 20, 2038)</w:t>
            </w:r>
          </w:p>
        </w:tc>
      </w:tr>
      <w:tr>
        <w:trPr>
          <w:trHeight w:val="157"/>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Subordinated Note, (effective yield 10.47%,</w:t>
            </w:r>
          </w:p>
        </w:tc>
      </w:tr>
      <w:tr>
        <w:trPr>
          <w:trHeight w:val="208"/>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Oaktree CLO Ltd (5)(6)</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April 15, 2038)</w:t>
            </w:r>
          </w:p>
        </w:tc>
      </w:tr>
      <w:tr>
        <w:trPr>
          <w:trHeight w:val="157"/>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Subordinated Note, (effective yield 37.94%,</w:t>
            </w:r>
          </w:p>
        </w:tc>
      </w:tr>
      <w:tr>
        <w:trPr>
          <w:trHeight w:val="208"/>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Ocean Trails CLO (5)(6)</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October 13, 2031)</w:t>
            </w:r>
          </w:p>
        </w:tc>
      </w:tr>
      <w:tr>
        <w:trPr>
          <w:trHeight w:val="157"/>
        </w:trPr>
        <w:tc>
          <w:tcPr>
            <w:tcW w:w="2700" w:type="dxa"/>
            <w:vAlign w:val="bottom"/>
            <w:gridSpan w:val="2"/>
          </w:tcPr>
          <w:p>
            <w:pPr>
              <w:ind w:left="340"/>
              <w:spacing w:after="0" w:line="156" w:lineRule="exact"/>
              <w:rPr>
                <w:sz w:val="20"/>
                <w:szCs w:val="20"/>
                <w:color w:val="auto"/>
              </w:rPr>
            </w:pPr>
            <w:r>
              <w:rPr>
                <w:rFonts w:ascii="Times New Roman" w:cs="Times New Roman" w:eastAsia="Times New Roman" w:hAnsi="Times New Roman"/>
                <w:sz w:val="15"/>
                <w:szCs w:val="15"/>
                <w:color w:val="auto"/>
              </w:rPr>
              <w:t>Octagon Investment Partners 18-R</w:t>
            </w:r>
          </w:p>
        </w:tc>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Subordinated Note, (effective yield 0%, maturity</w:t>
            </w:r>
          </w:p>
        </w:tc>
      </w:tr>
      <w:tr>
        <w:trPr>
          <w:trHeight w:val="198"/>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Ltd (5)(6)(9)</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April 16, 2031)</w:t>
            </w:r>
          </w:p>
        </w:tc>
      </w:tr>
      <w:tr>
        <w:trPr>
          <w:trHeight w:val="166"/>
        </w:trPr>
        <w:tc>
          <w:tcPr>
            <w:tcW w:w="2700" w:type="dxa"/>
            <w:vAlign w:val="bottom"/>
            <w:gridSpan w:val="2"/>
          </w:tcPr>
          <w:p>
            <w:pPr>
              <w:ind w:left="340"/>
              <w:spacing w:after="0" w:line="167" w:lineRule="exact"/>
              <w:rPr>
                <w:sz w:val="20"/>
                <w:szCs w:val="20"/>
                <w:color w:val="auto"/>
              </w:rPr>
            </w:pPr>
            <w:r>
              <w:rPr>
                <w:rFonts w:ascii="Times New Roman" w:cs="Times New Roman" w:eastAsia="Times New Roman" w:hAnsi="Times New Roman"/>
                <w:sz w:val="15"/>
                <w:szCs w:val="15"/>
                <w:color w:val="auto"/>
              </w:rPr>
              <w:t>Octagon Investment Partners 18-R</w:t>
            </w:r>
          </w:p>
        </w:tc>
        <w:tc>
          <w:tcPr>
            <w:tcW w:w="324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Subordinated Note, (effective yield 0%, maturity</w:t>
            </w:r>
          </w:p>
        </w:tc>
      </w:tr>
      <w:tr>
        <w:trPr>
          <w:trHeight w:val="198"/>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Ltd (6)(9)</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April 16, 2031)</w:t>
            </w:r>
          </w:p>
        </w:tc>
      </w:tr>
      <w:tr>
        <w:trPr>
          <w:trHeight w:val="166"/>
        </w:trPr>
        <w:tc>
          <w:tcPr>
            <w:tcW w:w="2700" w:type="dxa"/>
            <w:vAlign w:val="bottom"/>
            <w:gridSpan w:val="2"/>
          </w:tcPr>
          <w:p>
            <w:pPr>
              <w:ind w:left="340"/>
              <w:spacing w:after="0" w:line="167" w:lineRule="exact"/>
              <w:rPr>
                <w:sz w:val="20"/>
                <w:szCs w:val="20"/>
                <w:color w:val="auto"/>
              </w:rPr>
            </w:pPr>
            <w:r>
              <w:rPr>
                <w:rFonts w:ascii="Times New Roman" w:cs="Times New Roman" w:eastAsia="Times New Roman" w:hAnsi="Times New Roman"/>
                <w:sz w:val="15"/>
                <w:szCs w:val="15"/>
                <w:color w:val="auto"/>
              </w:rPr>
              <w:t>OCTAGON INVESTMENT</w:t>
            </w:r>
          </w:p>
        </w:tc>
        <w:tc>
          <w:tcPr>
            <w:tcW w:w="324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Subordinated Note, (effective yield 20.14%,</w:t>
            </w:r>
          </w:p>
        </w:tc>
      </w:tr>
      <w:tr>
        <w:trPr>
          <w:trHeight w:val="198"/>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PARTNERS 40 (5)</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January 20, 2035)</w:t>
            </w:r>
          </w:p>
        </w:tc>
      </w:tr>
      <w:tr>
        <w:trPr>
          <w:trHeight w:val="166"/>
        </w:trPr>
        <w:tc>
          <w:tcPr>
            <w:tcW w:w="2700" w:type="dxa"/>
            <w:vAlign w:val="bottom"/>
            <w:gridSpan w:val="2"/>
          </w:tcPr>
          <w:p>
            <w:pPr>
              <w:ind w:left="340"/>
              <w:spacing w:after="0" w:line="167" w:lineRule="exact"/>
              <w:rPr>
                <w:sz w:val="20"/>
                <w:szCs w:val="20"/>
                <w:color w:val="auto"/>
              </w:rPr>
            </w:pPr>
            <w:r>
              <w:rPr>
                <w:rFonts w:ascii="Times New Roman" w:cs="Times New Roman" w:eastAsia="Times New Roman" w:hAnsi="Times New Roman"/>
                <w:sz w:val="15"/>
                <w:szCs w:val="15"/>
                <w:color w:val="auto"/>
              </w:rPr>
              <w:t>Octagon Investment Partners 41 Ltd</w:t>
            </w:r>
          </w:p>
        </w:tc>
        <w:tc>
          <w:tcPr>
            <w:tcW w:w="324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Subordinated Note, (effective yield 18.2%, maturity</w:t>
            </w:r>
          </w:p>
        </w:tc>
      </w:tr>
      <w:tr>
        <w:trPr>
          <w:trHeight w:val="198"/>
        </w:trPr>
        <w:tc>
          <w:tcPr>
            <w:tcW w:w="26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(5)(6)</w:t>
            </w:r>
          </w:p>
        </w:tc>
        <w:tc>
          <w:tcPr>
            <w:tcW w:w="80" w:type="dxa"/>
            <w:vAlign w:val="bottom"/>
          </w:tcPr>
          <w:p>
            <w:pPr>
              <w:spacing w:after="0"/>
              <w:rPr>
                <w:sz w:val="17"/>
                <w:szCs w:val="17"/>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October 15, 2033)</w:t>
            </w:r>
          </w:p>
        </w:tc>
      </w:tr>
      <w:tr>
        <w:trPr>
          <w:trHeight w:val="166"/>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4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Subordinated Note, (effective yield 26.66%,</w:t>
            </w:r>
          </w:p>
        </w:tc>
      </w:tr>
      <w:tr>
        <w:trPr>
          <w:trHeight w:val="208"/>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OHA Loan Funding 2013-1 Ltd (6)</w:t>
            </w:r>
          </w:p>
        </w:tc>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April 23, 2037)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-6715125</wp:posOffset>
            </wp:positionV>
            <wp:extent cx="7012305" cy="2400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12305" cy="24003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-6243320</wp:posOffset>
            </wp:positionV>
            <wp:extent cx="7012305" cy="2317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12305" cy="2317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-5780405</wp:posOffset>
            </wp:positionV>
            <wp:extent cx="7012305" cy="2311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12305" cy="2311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-5317490</wp:posOffset>
            </wp:positionV>
            <wp:extent cx="7012305" cy="2311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12305" cy="2311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-4855210</wp:posOffset>
            </wp:positionV>
            <wp:extent cx="7012305" cy="2317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12305" cy="2317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-4392295</wp:posOffset>
            </wp:positionV>
            <wp:extent cx="7012305" cy="2317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12305" cy="2317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-3928745</wp:posOffset>
            </wp:positionV>
            <wp:extent cx="7012305" cy="2317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12305" cy="2317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-3465830</wp:posOffset>
            </wp:positionV>
            <wp:extent cx="7012305" cy="2317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12305" cy="2317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-3002915</wp:posOffset>
            </wp:positionV>
            <wp:extent cx="7012305" cy="2317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12305" cy="2317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-2540000</wp:posOffset>
            </wp:positionV>
            <wp:extent cx="7012305" cy="2317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12305" cy="2317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-2077085</wp:posOffset>
            </wp:positionV>
            <wp:extent cx="7012305" cy="2311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12305" cy="2311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-1614805</wp:posOffset>
            </wp:positionV>
            <wp:extent cx="7012305" cy="2317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12305" cy="2317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-1151255</wp:posOffset>
            </wp:positionV>
            <wp:extent cx="7012305" cy="2311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12305" cy="2311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-688975</wp:posOffset>
            </wp:positionV>
            <wp:extent cx="7012305" cy="2317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12305" cy="2317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-226060</wp:posOffset>
            </wp:positionV>
            <wp:extent cx="7012305" cy="2317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12305" cy="231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Acquisition</w:t>
            </w:r>
          </w:p>
        </w:tc>
        <w:tc>
          <w:tcPr>
            <w:tcW w:w="16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Principal</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 of Net</w:t>
            </w:r>
          </w:p>
        </w:tc>
      </w:tr>
      <w:tr>
        <w:trPr>
          <w:trHeight w:val="216"/>
        </w:trPr>
        <w:tc>
          <w:tcPr>
            <w:tcW w:w="1060" w:type="dxa"/>
            <w:vAlign w:val="bottom"/>
            <w:gridSpan w:val="2"/>
          </w:tcPr>
          <w:p>
            <w:pPr>
              <w:jc w:val="center"/>
              <w:ind w:right="80"/>
              <w:spacing w:after="0" w:line="216" w:lineRule="exact"/>
              <w:rPr>
                <w:sz w:val="20"/>
                <w:szCs w:val="20"/>
                <w:color w:val="auto"/>
              </w:rPr>
            </w:pPr>
            <w:r>
              <w:rPr>
                <w:rFonts w:ascii="Times New Roman" w:cs="Times New Roman" w:eastAsia="Times New Roman" w:hAnsi="Times New Roman"/>
                <w:sz w:val="15"/>
                <w:szCs w:val="15"/>
                <w:b w:val="1"/>
                <w:bCs w:val="1"/>
                <w:color w:val="auto"/>
                <w:w w:val="93"/>
              </w:rPr>
              <w:t>Date</w:t>
            </w:r>
            <w:r>
              <w:rPr>
                <w:rFonts w:ascii="Times New Roman" w:cs="Times New Roman" w:eastAsia="Times New Roman" w:hAnsi="Times New Roman"/>
                <w:sz w:val="19"/>
                <w:szCs w:val="19"/>
                <w:b w:val="1"/>
                <w:bCs w:val="1"/>
                <w:color w:val="auto"/>
                <w:w w:val="93"/>
                <w:vertAlign w:val="superscript"/>
              </w:rPr>
              <w:t>(2)</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Amount/Shares</w:t>
            </w:r>
          </w:p>
        </w:tc>
        <w:tc>
          <w:tcPr>
            <w:tcW w:w="180" w:type="dxa"/>
            <w:vAlign w:val="bottom"/>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Cost</w:t>
            </w:r>
          </w:p>
        </w:tc>
        <w:tc>
          <w:tcPr>
            <w:tcW w:w="98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15"/>
                <w:szCs w:val="15"/>
                <w:b w:val="1"/>
                <w:bCs w:val="1"/>
                <w:color w:val="auto"/>
              </w:rPr>
              <w:t>Fair Value</w:t>
            </w:r>
            <w:r>
              <w:rPr>
                <w:rFonts w:ascii="Times New Roman" w:cs="Times New Roman" w:eastAsia="Times New Roman" w:hAnsi="Times New Roman"/>
                <w:sz w:val="19"/>
                <w:szCs w:val="19"/>
                <w:b w:val="1"/>
                <w:bCs w:val="1"/>
                <w:color w:val="auto"/>
                <w:vertAlign w:val="superscript"/>
              </w:rPr>
              <w:t>(3)</w:t>
            </w:r>
          </w:p>
        </w:tc>
        <w:tc>
          <w:tcPr>
            <w:tcW w:w="880" w:type="dxa"/>
            <w:vAlign w:val="bottom"/>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Assets</w:t>
            </w:r>
          </w:p>
        </w:tc>
      </w:tr>
      <w:tr>
        <w:trPr>
          <w:trHeight w:val="350"/>
        </w:trPr>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04/03/24</w:t>
            </w:r>
          </w:p>
        </w:tc>
        <w:tc>
          <w:tcPr>
            <w:tcW w:w="80" w:type="dxa"/>
            <w:vAlign w:val="bottom"/>
          </w:tcPr>
          <w:p>
            <w:pPr>
              <w:spacing w:after="0"/>
              <w:rPr>
                <w:sz w:val="24"/>
                <w:szCs w:val="24"/>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1,370</w:t>
            </w:r>
          </w:p>
        </w:tc>
        <w:tc>
          <w:tcPr>
            <w:tcW w:w="100" w:type="dxa"/>
            <w:vAlign w:val="bottom"/>
          </w:tcPr>
          <w:p>
            <w:pPr>
              <w:spacing w:after="0"/>
              <w:rPr>
                <w:sz w:val="24"/>
                <w:szCs w:val="24"/>
                <w:color w:val="auto"/>
              </w:rPr>
            </w:pPr>
          </w:p>
        </w:tc>
        <w:tc>
          <w:tcPr>
            <w:tcW w:w="18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290</w:t>
            </w:r>
          </w:p>
        </w:tc>
        <w:tc>
          <w:tcPr>
            <w:tcW w:w="80" w:type="dxa"/>
            <w:vAlign w:val="bottom"/>
          </w:tcPr>
          <w:p>
            <w:pPr>
              <w:spacing w:after="0"/>
              <w:rPr>
                <w:sz w:val="24"/>
                <w:szCs w:val="24"/>
                <w:color w:val="auto"/>
              </w:rPr>
            </w:pPr>
          </w:p>
        </w:tc>
        <w:tc>
          <w:tcPr>
            <w:tcW w:w="30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273</w:t>
            </w:r>
          </w:p>
        </w:tc>
        <w:tc>
          <w:tcPr>
            <w:tcW w:w="80" w:type="dxa"/>
            <w:vAlign w:val="bottom"/>
          </w:tcPr>
          <w:p>
            <w:pPr>
              <w:spacing w:after="0"/>
              <w:rPr>
                <w:sz w:val="24"/>
                <w:szCs w:val="2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0.12 %</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11/17/23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0.10 %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02/18/25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1,584</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0.70 %</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05/30/24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1,040</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0.46 %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07/22/24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0.09 %</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08/12/24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320</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0.14 %</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07/25/25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670</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0.30 %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02/11/25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1,286</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0.57 %</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11/12/24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834</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0.37 %</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05/29/25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524</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0.23 %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05/30/24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9,793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6,106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6,023</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2.68 %</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07/25/24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560</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0.25 %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05/14/24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1,161</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0.52 %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12/18/24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0.04 %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01/23/24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03/28/24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08/21/24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1,147</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0.51 %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12/13/24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11,960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7,297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6,968</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3.10 %</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09/09/25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7,117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3,215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3,203</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07/02/24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2,006</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0.89 %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07/18/24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8,135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4,759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5,044</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2.24 %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07/31/25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1,044</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0.46 %</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08/14/25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7,310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4,636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4,531</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08/12/25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0.01 %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03/15/24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3,651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10/26/23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09/11/25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558</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0.25 %</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09/04/24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356</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0.16 %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11/12/24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272</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0.12 %</w:t>
            </w:r>
          </w:p>
        </w:tc>
      </w:tr>
    </w:tbl>
    <w:p>
      <w:pPr>
        <w:spacing w:after="0" w:line="200" w:lineRule="exact"/>
        <w:rPr>
          <w:sz w:val="20"/>
          <w:szCs w:val="20"/>
          <w:color w:val="auto"/>
        </w:rPr>
      </w:pPr>
    </w:p>
    <w:p>
      <w:pPr>
        <w:sectPr>
          <w:pgSz w:w="11900" w:h="16838" w:orient="portrait"/>
          <w:cols w:equalWidth="0" w:num="2">
            <w:col w:w="5940" w:space="80"/>
            <w:col w:w="5020"/>
          </w:cols>
          <w:pgMar w:left="420" w:top="968" w:right="439" w:bottom="1440" w:gutter="0" w:footer="0" w:header="0"/>
          <w:type w:val="continuous"/>
        </w:sect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40"/>
          </w:cols>
          <w:pgMar w:left="420" w:top="968" w:right="439" w:bottom="1440" w:gutter="0" w:footer="0" w:header="0"/>
          <w:type w:val="continuous"/>
        </w:sectPr>
      </w:pPr>
    </w:p>
    <w:bookmarkStart w:id="17" w:name="page18"/>
    <w:bookmarkEnd w:id="1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SCHEDULE OF INVESTMENTS</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701230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ectPr>
          <w:pgSz w:w="11900" w:h="16838" w:orient="portrait"/>
          <w:cols w:equalWidth="0" w:num="1">
            <w:col w:w="11020"/>
          </w:cols>
          <w:pgMar w:left="440" w:top="968" w:right="439" w:bottom="1440" w:gutter="0" w:footer="0" w:header="0"/>
        </w:sect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Issuer</w:t>
      </w:r>
      <w:r>
        <w:rPr>
          <w:rFonts w:ascii="Times New Roman" w:cs="Times New Roman" w:eastAsia="Times New Roman" w:hAnsi="Times New Roman"/>
          <w:sz w:val="19"/>
          <w:szCs w:val="1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-4445</wp:posOffset>
            </wp:positionV>
            <wp:extent cx="163703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OSD CLO 2023-27 Ltd (5)(6)(7)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Park Blue CLO Ltd (5)(6)(13)</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Park Blue CLO Ltd (5)(7)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PPM CLO 2 Ltd (5)(6)</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Regatta 31 Funding Ltd (5)(6)(7)(8)</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Regatta II Funding LP (6)(9)</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Regatta XV Funding Ltd (5)(6)(9)</w:t>
      </w:r>
    </w:p>
    <w:p>
      <w:pPr>
        <w:spacing w:after="0" w:line="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Rockford Tower CLO 2022-3 Ltd</w:t>
      </w:r>
    </w:p>
    <w:p>
      <w:pPr>
        <w:ind w:left="320"/>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Rockford Tower Credit Funding (5)</w:t>
      </w:r>
    </w:p>
    <w:p>
      <w:pPr>
        <w:ind w:left="320"/>
        <w:spacing w:after="0"/>
        <w:rPr>
          <w:sz w:val="20"/>
          <w:szCs w:val="20"/>
          <w:color w:val="auto"/>
        </w:rPr>
      </w:pPr>
      <w:r>
        <w:rPr>
          <w:rFonts w:ascii="Times New Roman" w:cs="Times New Roman" w:eastAsia="Times New Roman" w:hAnsi="Times New Roman"/>
          <w:sz w:val="15"/>
          <w:szCs w:val="15"/>
          <w:color w:val="auto"/>
        </w:rPr>
        <w:t>(6)</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RR 5 Ltd (5)(6)</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Symphony CLO XXIII Ltd (6)</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Symphony CLO XXVI Ltd (6)</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TCW CLO 2021-1 Ltd (5)</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TCW CLO 2023-1 Ltd (5)(6)</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TCW CLO 2023-1 Ltd (6)</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TCW CLO 2025-1 LTD (5)(6)(7)</w:t>
      </w:r>
    </w:p>
    <w:p>
      <w:pPr>
        <w:spacing w:after="0" w:line="30" w:lineRule="exact"/>
        <w:rPr>
          <w:sz w:val="20"/>
          <w:szCs w:val="20"/>
          <w:color w:val="auto"/>
        </w:rPr>
      </w:pPr>
    </w:p>
    <w:p>
      <w:pPr>
        <w:ind w:left="320" w:right="280"/>
        <w:spacing w:after="0" w:line="242" w:lineRule="auto"/>
        <w:rPr>
          <w:sz w:val="20"/>
          <w:szCs w:val="20"/>
          <w:color w:val="auto"/>
        </w:rPr>
      </w:pPr>
      <w:r>
        <w:rPr>
          <w:rFonts w:ascii="Times New Roman" w:cs="Times New Roman" w:eastAsia="Times New Roman" w:hAnsi="Times New Roman"/>
          <w:sz w:val="15"/>
          <w:szCs w:val="15"/>
          <w:color w:val="auto"/>
        </w:rPr>
        <w:t>THL Credit Wind River 2019-3 CLO Ltd (5)(6)</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Vibrant CLO XIII Ltd (5)(6)(7)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Vibrant CLO XV Ltd (5)(6)</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Voya 2024-3 LTD (5)(6)(7)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Voya CLO 2024-5 Ltd (5)(6)(7)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Voya CLO 2025-1 Ltd (5)(6)(7)</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Wellfleet CLO 2021-3 Ltd (5)(6)(8)</w:t>
      </w:r>
    </w:p>
    <w:p>
      <w:pPr>
        <w:spacing w:after="0" w:line="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Wind River 2021-1 CLO Ltd (5)(6)</w:t>
      </w:r>
    </w:p>
    <w:p>
      <w:pPr>
        <w:ind w:left="320"/>
        <w:spacing w:after="0"/>
        <w:rPr>
          <w:sz w:val="20"/>
          <w:szCs w:val="20"/>
          <w:color w:val="auto"/>
        </w:rPr>
      </w:pPr>
      <w:r>
        <w:rPr>
          <w:rFonts w:ascii="Times New Roman" w:cs="Times New Roman" w:eastAsia="Times New Roman" w:hAnsi="Times New Roman"/>
          <w:sz w:val="15"/>
          <w:szCs w:val="15"/>
          <w:color w:val="auto"/>
        </w:rPr>
        <w:t>(8)</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Zais CLO 6 LTD (5)(6)(9)</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Zais CLO 9 Ltd (6)(9)</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Investment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24130</wp:posOffset>
            </wp:positionV>
            <wp:extent cx="204851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8" w:lineRule="exact"/>
        <w:rPr>
          <w:sz w:val="20"/>
          <w:szCs w:val="20"/>
          <w:color w:val="auto"/>
        </w:rPr>
      </w:pP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14.62%, maturity July 15, 2038)</w:t>
      </w:r>
    </w:p>
    <w:p>
      <w:pPr>
        <w:spacing w:after="0" w:line="17" w:lineRule="exact"/>
        <w:rPr>
          <w:sz w:val="20"/>
          <w:szCs w:val="20"/>
          <w:color w:val="auto"/>
        </w:rPr>
      </w:pP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10.03%, maturity October 25, 2038)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-1699895</wp:posOffset>
            </wp:positionH>
            <wp:positionV relativeFrom="paragraph">
              <wp:posOffset>-217805</wp:posOffset>
            </wp:positionV>
            <wp:extent cx="7012305" cy="2311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12305" cy="231140"/>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11.37%, maturity April 20, 2038)</w:t>
      </w:r>
    </w:p>
    <w:p>
      <w:pPr>
        <w:spacing w:after="0" w:line="1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8.13%, maturity April 16, 2037)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-1699895</wp:posOffset>
            </wp:positionH>
            <wp:positionV relativeFrom="paragraph">
              <wp:posOffset>-217805</wp:posOffset>
            </wp:positionV>
            <wp:extent cx="7012305" cy="2311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12305" cy="231140"/>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13.93%, maturity March 25, 2038)</w:t>
      </w:r>
    </w:p>
    <w:p>
      <w:pPr>
        <w:spacing w:after="0" w:line="17"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0%, maturity January 15,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-1699895</wp:posOffset>
            </wp:positionH>
            <wp:positionV relativeFrom="paragraph">
              <wp:posOffset>-217805</wp:posOffset>
            </wp:positionV>
            <wp:extent cx="7012305" cy="2317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12305" cy="231775"/>
                    </a:xfrm>
                    <a:prstGeom prst="rect">
                      <a:avLst/>
                    </a:prstGeom>
                    <a:noFill/>
                  </pic:spPr>
                </pic:pic>
              </a:graphicData>
            </a:graphic>
          </wp:anchor>
        </w:drawing>
      </w:r>
    </w:p>
    <w:p>
      <w:pPr>
        <w:ind w:right="1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0%, maturity October 25, 2031)</w:t>
      </w:r>
    </w:p>
    <w:p>
      <w:pPr>
        <w:spacing w:after="0" w:line="17" w:lineRule="exact"/>
        <w:rPr>
          <w:sz w:val="20"/>
          <w:szCs w:val="20"/>
          <w:color w:val="auto"/>
        </w:rPr>
      </w:pP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13.52%, maturity July 20, 2037)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-1699895</wp:posOffset>
            </wp:positionH>
            <wp:positionV relativeFrom="paragraph">
              <wp:posOffset>-217805</wp:posOffset>
            </wp:positionV>
            <wp:extent cx="7012305" cy="2317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12305" cy="231775"/>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12.44%, maturity April 20, 2040)</w:t>
      </w:r>
    </w:p>
    <w:p>
      <w:pPr>
        <w:spacing w:after="0" w:line="17" w:lineRule="exact"/>
        <w:rPr>
          <w:sz w:val="20"/>
          <w:szCs w:val="20"/>
          <w:color w:val="auto"/>
        </w:rPr>
      </w:pP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11.78%, maturity July 15, 2039)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-1699895</wp:posOffset>
            </wp:positionH>
            <wp:positionV relativeFrom="paragraph">
              <wp:posOffset>-217805</wp:posOffset>
            </wp:positionV>
            <wp:extent cx="7012305" cy="2311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12305" cy="231140"/>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15.31%, maturity January 15, 2048)</w:t>
      </w:r>
    </w:p>
    <w:p>
      <w:pPr>
        <w:spacing w:after="0" w:line="1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1.29%, maturity April 20,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-1699895</wp:posOffset>
            </wp:positionH>
            <wp:positionV relativeFrom="paragraph">
              <wp:posOffset>-217805</wp:posOffset>
            </wp:positionV>
            <wp:extent cx="7012305" cy="2311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12305" cy="231140"/>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13.61%, maturity January 20, 2038)</w:t>
      </w:r>
    </w:p>
    <w:p>
      <w:pPr>
        <w:spacing w:after="0" w:line="17" w:lineRule="exact"/>
        <w:rPr>
          <w:sz w:val="20"/>
          <w:szCs w:val="20"/>
          <w:color w:val="auto"/>
        </w:rPr>
      </w:pPr>
    </w:p>
    <w:p>
      <w:pPr>
        <w:ind w:right="280"/>
        <w:spacing w:after="0" w:line="242" w:lineRule="auto"/>
        <w:rPr>
          <w:sz w:val="20"/>
          <w:szCs w:val="20"/>
          <w:color w:val="auto"/>
        </w:rPr>
      </w:pPr>
      <w:r>
        <w:rPr>
          <w:rFonts w:ascii="Times New Roman" w:cs="Times New Roman" w:eastAsia="Times New Roman" w:hAnsi="Times New Roman"/>
          <w:sz w:val="15"/>
          <w:szCs w:val="15"/>
          <w:color w:val="auto"/>
        </w:rPr>
        <w:t>Income Note, (effective yield 21.97%, maturity March 31, 2038)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-1699895</wp:posOffset>
            </wp:positionH>
            <wp:positionV relativeFrom="paragraph">
              <wp:posOffset>-217805</wp:posOffset>
            </wp:positionV>
            <wp:extent cx="7012305" cy="2311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12305" cy="231140"/>
                    </a:xfrm>
                    <a:prstGeom prst="rect">
                      <a:avLst/>
                    </a:prstGeom>
                    <a:noFill/>
                  </pic:spPr>
                </pic:pic>
              </a:graphicData>
            </a:graphic>
          </wp:anchor>
        </w:drawing>
      </w:r>
    </w:p>
    <w:p>
      <w:pPr>
        <w:ind w:right="280"/>
        <w:spacing w:after="0" w:line="242" w:lineRule="auto"/>
        <w:rPr>
          <w:sz w:val="20"/>
          <w:szCs w:val="20"/>
          <w:color w:val="auto"/>
        </w:rPr>
      </w:pPr>
      <w:r>
        <w:rPr>
          <w:rFonts w:ascii="Times New Roman" w:cs="Times New Roman" w:eastAsia="Times New Roman" w:hAnsi="Times New Roman"/>
          <w:sz w:val="15"/>
          <w:szCs w:val="15"/>
          <w:color w:val="auto"/>
        </w:rPr>
        <w:t>Income Note, (effective yield 21.97%, maturity March 31, 2038)</w:t>
      </w:r>
    </w:p>
    <w:p>
      <w:pPr>
        <w:spacing w:after="0" w:line="17" w:lineRule="exact"/>
        <w:rPr>
          <w:sz w:val="20"/>
          <w:szCs w:val="20"/>
          <w:color w:val="auto"/>
        </w:rPr>
      </w:pP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13.55%, maturity April 20, 2038)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-1699895</wp:posOffset>
            </wp:positionH>
            <wp:positionV relativeFrom="paragraph">
              <wp:posOffset>-217805</wp:posOffset>
            </wp:positionV>
            <wp:extent cx="7012305" cy="2317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12305" cy="231775"/>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37.19%, maturity January 15, 2038)</w:t>
      </w:r>
    </w:p>
    <w:p>
      <w:pPr>
        <w:spacing w:after="0" w:line="17" w:lineRule="exact"/>
        <w:rPr>
          <w:sz w:val="20"/>
          <w:szCs w:val="20"/>
          <w:color w:val="auto"/>
        </w:rPr>
      </w:pP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12.39%, maturity July 15, 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-1699895</wp:posOffset>
            </wp:positionH>
            <wp:positionV relativeFrom="paragraph">
              <wp:posOffset>-217805</wp:posOffset>
            </wp:positionV>
            <wp:extent cx="7012305" cy="2311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12305" cy="231140"/>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16.03%, maturity January 20, 2035)</w:t>
      </w:r>
    </w:p>
    <w:p>
      <w:pPr>
        <w:spacing w:after="0" w:line="17" w:lineRule="exact"/>
        <w:rPr>
          <w:sz w:val="20"/>
          <w:szCs w:val="20"/>
          <w:color w:val="auto"/>
        </w:rPr>
      </w:pP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12.93%, maturity July 20, 2037)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-1699895</wp:posOffset>
            </wp:positionH>
            <wp:positionV relativeFrom="paragraph">
              <wp:posOffset>-217805</wp:posOffset>
            </wp:positionV>
            <wp:extent cx="7012305" cy="2317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12305" cy="231775"/>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12.79%, maturity October 15, 2037)</w:t>
      </w:r>
    </w:p>
    <w:p>
      <w:pPr>
        <w:spacing w:after="0" w:line="17" w:lineRule="exact"/>
        <w:rPr>
          <w:sz w:val="20"/>
          <w:szCs w:val="20"/>
          <w:color w:val="auto"/>
        </w:rPr>
      </w:pP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12.94%, maturity April 20, 2038)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-1699895</wp:posOffset>
            </wp:positionH>
            <wp:positionV relativeFrom="paragraph">
              <wp:posOffset>-217805</wp:posOffset>
            </wp:positionV>
            <wp:extent cx="7012305" cy="2311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12305" cy="231140"/>
                    </a:xfrm>
                    <a:prstGeom prst="rect">
                      <a:avLst/>
                    </a:prstGeom>
                    <a:noFill/>
                  </pic:spPr>
                </pic:pic>
              </a:graphicData>
            </a:graphic>
          </wp:anchor>
        </w:drawing>
      </w: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19.62%, maturity January 15, 2035)</w:t>
      </w:r>
    </w:p>
    <w:p>
      <w:pPr>
        <w:spacing w:after="0" w:line="17" w:lineRule="exact"/>
        <w:rPr>
          <w:sz w:val="20"/>
          <w:szCs w:val="20"/>
          <w:color w:val="auto"/>
        </w:rPr>
      </w:pPr>
    </w:p>
    <w:p>
      <w:pPr>
        <w:ind w:right="4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12.24%, maturity July 20, 2037)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-1699895</wp:posOffset>
            </wp:positionH>
            <wp:positionV relativeFrom="paragraph">
              <wp:posOffset>-217805</wp:posOffset>
            </wp:positionV>
            <wp:extent cx="7012305" cy="2317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12305" cy="231775"/>
                    </a:xfrm>
                    <a:prstGeom prst="rect">
                      <a:avLst/>
                    </a:prstGeom>
                    <a:noFill/>
                  </pic:spPr>
                </pic:pic>
              </a:graphicData>
            </a:graphic>
          </wp:anchor>
        </w:drawing>
      </w:r>
    </w:p>
    <w:p>
      <w:pPr>
        <w:ind w:right="1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0%, maturity July 15, 2029)</w:t>
      </w:r>
    </w:p>
    <w:p>
      <w:pPr>
        <w:spacing w:after="0" w:line="17"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5"/>
          <w:szCs w:val="15"/>
          <w:color w:val="auto"/>
        </w:rPr>
        <w:t>Subordinated Note, (effective yield 0%, maturity July 20,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-1699895</wp:posOffset>
            </wp:positionH>
            <wp:positionV relativeFrom="paragraph">
              <wp:posOffset>-217805</wp:posOffset>
            </wp:positionV>
            <wp:extent cx="7012305" cy="2317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12305" cy="231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Acquisition</w:t>
            </w:r>
          </w:p>
        </w:tc>
        <w:tc>
          <w:tcPr>
            <w:tcW w:w="16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Principal</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 of Net</w:t>
            </w:r>
          </w:p>
        </w:tc>
        <w:tc>
          <w:tcPr>
            <w:tcW w:w="140" w:type="dxa"/>
            <w:vAlign w:val="bottom"/>
          </w:tcPr>
          <w:p>
            <w:pPr>
              <w:spacing w:after="0"/>
              <w:rPr>
                <w:sz w:val="15"/>
                <w:szCs w:val="15"/>
                <w:color w:val="auto"/>
              </w:rPr>
            </w:pPr>
          </w:p>
        </w:tc>
      </w:tr>
      <w:tr>
        <w:trPr>
          <w:trHeight w:val="216"/>
        </w:trPr>
        <w:tc>
          <w:tcPr>
            <w:tcW w:w="1060" w:type="dxa"/>
            <w:vAlign w:val="bottom"/>
            <w:gridSpan w:val="2"/>
          </w:tcPr>
          <w:p>
            <w:pPr>
              <w:jc w:val="center"/>
              <w:ind w:right="80"/>
              <w:spacing w:after="0" w:line="216" w:lineRule="exact"/>
              <w:rPr>
                <w:sz w:val="20"/>
                <w:szCs w:val="20"/>
                <w:color w:val="auto"/>
              </w:rPr>
            </w:pPr>
            <w:r>
              <w:rPr>
                <w:rFonts w:ascii="Times New Roman" w:cs="Times New Roman" w:eastAsia="Times New Roman" w:hAnsi="Times New Roman"/>
                <w:sz w:val="15"/>
                <w:szCs w:val="15"/>
                <w:b w:val="1"/>
                <w:bCs w:val="1"/>
                <w:color w:val="auto"/>
                <w:w w:val="93"/>
              </w:rPr>
              <w:t>Date</w:t>
            </w:r>
            <w:r>
              <w:rPr>
                <w:rFonts w:ascii="Times New Roman" w:cs="Times New Roman" w:eastAsia="Times New Roman" w:hAnsi="Times New Roman"/>
                <w:sz w:val="19"/>
                <w:szCs w:val="19"/>
                <w:b w:val="1"/>
                <w:bCs w:val="1"/>
                <w:color w:val="auto"/>
                <w:w w:val="93"/>
                <w:vertAlign w:val="superscript"/>
              </w:rPr>
              <w:t>(2)</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Amount/Shares</w:t>
            </w:r>
          </w:p>
        </w:tc>
        <w:tc>
          <w:tcPr>
            <w:tcW w:w="200" w:type="dxa"/>
            <w:vAlign w:val="bottom"/>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Cost</w:t>
            </w:r>
          </w:p>
        </w:tc>
        <w:tc>
          <w:tcPr>
            <w:tcW w:w="98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15"/>
                <w:szCs w:val="15"/>
                <w:b w:val="1"/>
                <w:bCs w:val="1"/>
                <w:color w:val="auto"/>
              </w:rPr>
              <w:t>Fair Value</w:t>
            </w:r>
            <w:r>
              <w:rPr>
                <w:rFonts w:ascii="Times New Roman" w:cs="Times New Roman" w:eastAsia="Times New Roman" w:hAnsi="Times New Roman"/>
                <w:sz w:val="19"/>
                <w:szCs w:val="19"/>
                <w:b w:val="1"/>
                <w:bCs w:val="1"/>
                <w:color w:val="auto"/>
                <w:vertAlign w:val="superscript"/>
              </w:rPr>
              <w:t>(3)</w:t>
            </w: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40" w:type="dxa"/>
            <w:vAlign w:val="bottom"/>
          </w:tcPr>
          <w:p>
            <w:pPr>
              <w:spacing w:after="0"/>
              <w:rPr>
                <w:sz w:val="18"/>
                <w:szCs w:val="18"/>
                <w:color w:val="auto"/>
              </w:rPr>
            </w:pPr>
          </w:p>
        </w:tc>
      </w:tr>
      <w:tr>
        <w:trPr>
          <w:trHeight w:val="350"/>
        </w:trPr>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04/24/24</w:t>
            </w:r>
          </w:p>
        </w:tc>
        <w:tc>
          <w:tcPr>
            <w:tcW w:w="80" w:type="dxa"/>
            <w:vAlign w:val="bottom"/>
          </w:tcPr>
          <w:p>
            <w:pPr>
              <w:spacing w:after="0"/>
              <w:rPr>
                <w:sz w:val="24"/>
                <w:szCs w:val="24"/>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9,060</w:t>
            </w:r>
          </w:p>
        </w:tc>
        <w:tc>
          <w:tcPr>
            <w:tcW w:w="80" w:type="dxa"/>
            <w:vAlign w:val="bottom"/>
          </w:tcPr>
          <w:p>
            <w:pPr>
              <w:spacing w:after="0"/>
              <w:rPr>
                <w:sz w:val="24"/>
                <w:szCs w:val="24"/>
                <w:color w:val="auto"/>
              </w:rPr>
            </w:pPr>
          </w:p>
        </w:tc>
        <w:tc>
          <w:tcPr>
            <w:tcW w:w="20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5,649</w:t>
            </w:r>
          </w:p>
        </w:tc>
        <w:tc>
          <w:tcPr>
            <w:tcW w:w="80" w:type="dxa"/>
            <w:vAlign w:val="bottom"/>
          </w:tcPr>
          <w:p>
            <w:pPr>
              <w:spacing w:after="0"/>
              <w:rPr>
                <w:sz w:val="24"/>
                <w:szCs w:val="24"/>
                <w:color w:val="auto"/>
              </w:rPr>
            </w:pPr>
          </w:p>
        </w:tc>
        <w:tc>
          <w:tcPr>
            <w:tcW w:w="30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6,508</w:t>
            </w:r>
          </w:p>
        </w:tc>
        <w:tc>
          <w:tcPr>
            <w:tcW w:w="80" w:type="dxa"/>
            <w:vAlign w:val="bottom"/>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2.89</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08/21/25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6,789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7,003</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3.11</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07/16/25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4,615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4,400</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04/24/24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0.07</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02/21/25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1,460</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0.65</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02/27/25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12/06/23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10/24/24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628</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0.28</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09/15/25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1,121</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0.50</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04/30/25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602</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0.27</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05/14/24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885</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0.39</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01/09/24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0.05</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02/26/25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3,631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3,612</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03/25/25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474</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0.21</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01/31/24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1,024</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0.45</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02/18/25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1,447</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0.64</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05/30/25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12,710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1,557</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0.69</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05/21/24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7,880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4,376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4,184</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08/29/24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747</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0.33</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06/18/24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6,483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6,956</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3.09</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10/18/24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7,135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7,250</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3.22</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02/12/25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2,877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2,925</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4"/>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09/11/24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1,979</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0.88</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07/12/24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4,650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1,876</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0.83</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07/09/25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365"/>
        </w:trPr>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02/08/24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r>
    </w:tbl>
    <w:p>
      <w:pPr>
        <w:spacing w:after="0" w:line="1" w:lineRule="exact"/>
        <w:rPr>
          <w:sz w:val="20"/>
          <w:szCs w:val="20"/>
          <w:color w:val="auto"/>
        </w:rPr>
      </w:pPr>
    </w:p>
    <w:p>
      <w:pPr>
        <w:sectPr>
          <w:pgSz w:w="11900" w:h="16838" w:orient="portrait"/>
          <w:cols w:equalWidth="0" w:num="3">
            <w:col w:w="2540" w:space="120"/>
            <w:col w:w="3180" w:space="100"/>
            <w:col w:w="5080"/>
          </w:cols>
          <w:pgMar w:left="440" w:top="968" w:right="43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Total Collateralized Loan Obligations - Equity, United States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22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185,970</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184,838</w:t>
            </w:r>
          </w:p>
        </w:tc>
        <w:tc>
          <w:tcPr>
            <w:tcW w:w="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82.12 %</w:t>
            </w:r>
          </w:p>
        </w:tc>
      </w:tr>
    </w:tbl>
    <w:p>
      <w:pPr>
        <w:spacing w:after="0" w:line="200" w:lineRule="exact"/>
        <w:rPr>
          <w:sz w:val="20"/>
          <w:szCs w:val="20"/>
          <w:color w:val="auto"/>
        </w:rPr>
      </w:pPr>
    </w:p>
    <w:p>
      <w:pPr>
        <w:sectPr>
          <w:pgSz w:w="11900" w:h="16838" w:orient="portrait"/>
          <w:cols w:equalWidth="0" w:num="2">
            <w:col w:w="7420" w:space="720"/>
            <w:col w:w="2880"/>
          </w:cols>
          <w:pgMar w:left="440" w:top="968" w:right="4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968" w:right="43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SCHEDULE OF INVESTMENTS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48895</wp:posOffset>
            </wp:positionV>
            <wp:extent cx="701230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ectPr>
          <w:pgSz w:w="11900" w:h="16838" w:orient="portrait"/>
          <w:cols w:equalWidth="0" w:num="1">
            <w:col w:w="11040"/>
          </w:cols>
          <w:pgMar w:left="420" w:top="968" w:right="439" w:bottom="1440" w:gutter="0" w:footer="0" w:header="0"/>
        </w:sect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Issuer</w:t>
            </w:r>
            <w:r>
              <w:rPr>
                <w:rFonts w:ascii="Times New Roman" w:cs="Times New Roman" w:eastAsia="Times New Roman" w:hAnsi="Times New Roman"/>
                <w:sz w:val="19"/>
                <w:szCs w:val="19"/>
                <w:b w:val="1"/>
                <w:bCs w:val="1"/>
                <w:color w:val="auto"/>
                <w:vertAlign w:val="superscript"/>
              </w:rPr>
              <w:t>(1)</w:t>
            </w:r>
          </w:p>
        </w:tc>
        <w:tc>
          <w:tcPr>
            <w:tcW w:w="3220" w:type="dxa"/>
            <w:vAlign w:val="bottom"/>
          </w:tcPr>
          <w:p>
            <w:pPr>
              <w:ind w:left="860"/>
              <w:spacing w:after="0"/>
              <w:rPr>
                <w:sz w:val="20"/>
                <w:szCs w:val="20"/>
                <w:color w:val="auto"/>
              </w:rPr>
            </w:pPr>
            <w:r>
              <w:rPr>
                <w:rFonts w:ascii="Times New Roman" w:cs="Times New Roman" w:eastAsia="Times New Roman" w:hAnsi="Times New Roman"/>
                <w:sz w:val="15"/>
                <w:szCs w:val="15"/>
                <w:b w:val="1"/>
                <w:bCs w:val="1"/>
                <w:color w:val="auto"/>
              </w:rPr>
              <w:t>Investment Description</w:t>
            </w:r>
          </w:p>
        </w:tc>
      </w:tr>
      <w:tr>
        <w:trPr>
          <w:trHeight w:val="188"/>
        </w:trPr>
        <w:tc>
          <w:tcPr>
            <w:tcW w:w="26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color w:val="auto"/>
              </w:rPr>
              <w:t>European Union—Various</w:t>
            </w:r>
          </w:p>
        </w:tc>
        <w:tc>
          <w:tcPr>
            <w:tcW w:w="80" w:type="dxa"/>
            <w:vAlign w:val="bottom"/>
          </w:tcPr>
          <w:p>
            <w:pPr>
              <w:spacing w:after="0"/>
              <w:rPr>
                <w:sz w:val="16"/>
                <w:szCs w:val="16"/>
                <w:color w:val="auto"/>
              </w:rPr>
            </w:pPr>
          </w:p>
        </w:tc>
        <w:tc>
          <w:tcPr>
            <w:tcW w:w="3220" w:type="dxa"/>
            <w:vAlign w:val="bottom"/>
            <w:tcBorders>
              <w:top w:val="single" w:sz="8" w:color="auto"/>
            </w:tcBorders>
          </w:tcPr>
          <w:p>
            <w:pPr>
              <w:spacing w:after="0"/>
              <w:rPr>
                <w:sz w:val="16"/>
                <w:szCs w:val="16"/>
                <w:color w:val="auto"/>
              </w:rPr>
            </w:pPr>
          </w:p>
        </w:tc>
      </w:tr>
      <w:tr>
        <w:trPr>
          <w:trHeight w:val="202"/>
        </w:trPr>
        <w:tc>
          <w:tcPr>
            <w:tcW w:w="268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Structured Finance</w:t>
            </w:r>
          </w:p>
        </w:tc>
        <w:tc>
          <w:tcPr>
            <w:tcW w:w="3220" w:type="dxa"/>
            <w:vAlign w:val="bottom"/>
          </w:tcPr>
          <w:p>
            <w:pPr>
              <w:spacing w:after="0"/>
              <w:rPr>
                <w:sz w:val="17"/>
                <w:szCs w:val="17"/>
                <w:color w:val="auto"/>
              </w:rPr>
            </w:pPr>
          </w:p>
        </w:tc>
      </w:tr>
      <w:tr>
        <w:trPr>
          <w:trHeight w:val="157"/>
        </w:trPr>
        <w:tc>
          <w:tcPr>
            <w:tcW w:w="2680" w:type="dxa"/>
            <w:vAlign w:val="bottom"/>
            <w:gridSpan w:val="2"/>
          </w:tcPr>
          <w:p>
            <w:pPr>
              <w:ind w:left="340"/>
              <w:spacing w:after="0" w:line="156" w:lineRule="exact"/>
              <w:rPr>
                <w:sz w:val="20"/>
                <w:szCs w:val="20"/>
                <w:color w:val="auto"/>
              </w:rPr>
            </w:pPr>
            <w:r>
              <w:rPr>
                <w:rFonts w:ascii="Times New Roman" w:cs="Times New Roman" w:eastAsia="Times New Roman" w:hAnsi="Times New Roman"/>
                <w:sz w:val="15"/>
                <w:szCs w:val="15"/>
                <w:color w:val="auto"/>
              </w:rPr>
              <w:t>Barings Euro CLO 2020-1 DAC (6)</w:t>
            </w:r>
          </w:p>
        </w:tc>
        <w:tc>
          <w:tcPr>
            <w:tcW w:w="322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Subordinated Note, (effective yield 6.78%,</w:t>
            </w:r>
          </w:p>
        </w:tc>
      </w:tr>
      <w:tr>
        <w:trPr>
          <w:trHeight w:val="198"/>
        </w:trPr>
        <w:tc>
          <w:tcPr>
            <w:tcW w:w="26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tcPr>
          <w:p>
            <w:pPr>
              <w:spacing w:after="0"/>
              <w:rPr>
                <w:sz w:val="17"/>
                <w:szCs w:val="17"/>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October 21, 2034)</w:t>
            </w:r>
          </w:p>
        </w:tc>
      </w:tr>
      <w:tr>
        <w:trPr>
          <w:trHeight w:val="166"/>
        </w:trPr>
        <w:tc>
          <w:tcPr>
            <w:tcW w:w="2680" w:type="dxa"/>
            <w:vAlign w:val="bottom"/>
            <w:gridSpan w:val="2"/>
          </w:tcPr>
          <w:p>
            <w:pPr>
              <w:ind w:left="340"/>
              <w:spacing w:after="0" w:line="167" w:lineRule="exact"/>
              <w:rPr>
                <w:sz w:val="20"/>
                <w:szCs w:val="20"/>
                <w:color w:val="auto"/>
              </w:rPr>
            </w:pPr>
            <w:r>
              <w:rPr>
                <w:rFonts w:ascii="Times New Roman" w:cs="Times New Roman" w:eastAsia="Times New Roman" w:hAnsi="Times New Roman"/>
                <w:sz w:val="15"/>
                <w:szCs w:val="15"/>
                <w:color w:val="auto"/>
              </w:rPr>
              <w:t>Barings Euro CLO 2021-1 DAC (5)</w:t>
            </w:r>
          </w:p>
        </w:tc>
        <w:tc>
          <w:tcPr>
            <w:tcW w:w="322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Subordinated Note, (effective yield 8.23%,</w:t>
            </w:r>
          </w:p>
        </w:tc>
      </w:tr>
      <w:tr>
        <w:trPr>
          <w:trHeight w:val="198"/>
        </w:trPr>
        <w:tc>
          <w:tcPr>
            <w:tcW w:w="26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(6)</w:t>
            </w:r>
          </w:p>
        </w:tc>
        <w:tc>
          <w:tcPr>
            <w:tcW w:w="80" w:type="dxa"/>
            <w:vAlign w:val="bottom"/>
          </w:tcPr>
          <w:p>
            <w:pPr>
              <w:spacing w:after="0"/>
              <w:rPr>
                <w:sz w:val="17"/>
                <w:szCs w:val="17"/>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April 24, 2034)</w:t>
            </w:r>
          </w:p>
        </w:tc>
      </w:tr>
      <w:tr>
        <w:trPr>
          <w:trHeight w:val="166"/>
        </w:trPr>
        <w:tc>
          <w:tcPr>
            <w:tcW w:w="2680" w:type="dxa"/>
            <w:vAlign w:val="bottom"/>
            <w:gridSpan w:val="2"/>
          </w:tcPr>
          <w:p>
            <w:pPr>
              <w:ind w:left="340"/>
              <w:spacing w:after="0" w:line="167" w:lineRule="exact"/>
              <w:rPr>
                <w:sz w:val="20"/>
                <w:szCs w:val="20"/>
                <w:color w:val="auto"/>
              </w:rPr>
            </w:pPr>
            <w:r>
              <w:rPr>
                <w:rFonts w:ascii="Times New Roman" w:cs="Times New Roman" w:eastAsia="Times New Roman" w:hAnsi="Times New Roman"/>
                <w:sz w:val="15"/>
                <w:szCs w:val="15"/>
                <w:color w:val="auto"/>
              </w:rPr>
              <w:t>BNPP IP Euro CLO 2015-1 BV (6)</w:t>
            </w:r>
          </w:p>
        </w:tc>
        <w:tc>
          <w:tcPr>
            <w:tcW w:w="322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Subordinated Note, (effective yield 0%, maturity</w:t>
            </w:r>
          </w:p>
        </w:tc>
      </w:tr>
      <w:tr>
        <w:trPr>
          <w:trHeight w:val="198"/>
        </w:trPr>
        <w:tc>
          <w:tcPr>
            <w:tcW w:w="26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(9)</w:t>
            </w:r>
          </w:p>
        </w:tc>
        <w:tc>
          <w:tcPr>
            <w:tcW w:w="80" w:type="dxa"/>
            <w:vAlign w:val="bottom"/>
          </w:tcPr>
          <w:p>
            <w:pPr>
              <w:spacing w:after="0"/>
              <w:rPr>
                <w:sz w:val="17"/>
                <w:szCs w:val="17"/>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October 15, 2030)</w:t>
            </w:r>
          </w:p>
        </w:tc>
      </w:tr>
      <w:tr>
        <w:trPr>
          <w:trHeight w:val="166"/>
        </w:trPr>
        <w:tc>
          <w:tcPr>
            <w:tcW w:w="2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Subordinated Note, (effective yield 10.7%,</w:t>
            </w:r>
          </w:p>
        </w:tc>
      </w:tr>
      <w:tr>
        <w:trPr>
          <w:trHeight w:val="208"/>
        </w:trPr>
        <w:tc>
          <w:tcPr>
            <w:tcW w:w="268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Carlyle Euro CLO 2019-2 DAC (6)</w:t>
            </w:r>
          </w:p>
        </w:tc>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August 15, 2032)</w:t>
            </w:r>
          </w:p>
        </w:tc>
      </w:tr>
      <w:tr>
        <w:trPr>
          <w:trHeight w:val="157"/>
        </w:trPr>
        <w:tc>
          <w:tcPr>
            <w:tcW w:w="2680" w:type="dxa"/>
            <w:vAlign w:val="bottom"/>
            <w:gridSpan w:val="2"/>
          </w:tcPr>
          <w:p>
            <w:pPr>
              <w:ind w:left="340"/>
              <w:spacing w:after="0" w:line="156" w:lineRule="exact"/>
              <w:rPr>
                <w:sz w:val="20"/>
                <w:szCs w:val="20"/>
                <w:color w:val="auto"/>
              </w:rPr>
            </w:pPr>
            <w:r>
              <w:rPr>
                <w:rFonts w:ascii="Times New Roman" w:cs="Times New Roman" w:eastAsia="Times New Roman" w:hAnsi="Times New Roman"/>
                <w:sz w:val="15"/>
                <w:szCs w:val="15"/>
                <w:color w:val="auto"/>
              </w:rPr>
              <w:t>Carlyle Global Market Strategies</w:t>
            </w:r>
          </w:p>
        </w:tc>
        <w:tc>
          <w:tcPr>
            <w:tcW w:w="322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Subordinated Note, (effective yield 0%, maturity</w:t>
            </w:r>
          </w:p>
        </w:tc>
      </w:tr>
      <w:tr>
        <w:trPr>
          <w:trHeight w:val="198"/>
        </w:trPr>
        <w:tc>
          <w:tcPr>
            <w:tcW w:w="268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Euro CLO 2014-2 Ltd (6)(9)</w:t>
            </w:r>
          </w:p>
        </w:tc>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November 17, 2031)</w:t>
            </w:r>
          </w:p>
        </w:tc>
      </w:tr>
      <w:tr>
        <w:trPr>
          <w:trHeight w:val="166"/>
        </w:trPr>
        <w:tc>
          <w:tcPr>
            <w:tcW w:w="2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Subordinated Note, (effective yield 15.45%,</w:t>
            </w:r>
          </w:p>
        </w:tc>
      </w:tr>
      <w:tr>
        <w:trPr>
          <w:trHeight w:val="208"/>
        </w:trPr>
        <w:tc>
          <w:tcPr>
            <w:tcW w:w="268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Invesco Euro CLO I DAC (6)</w:t>
            </w:r>
          </w:p>
        </w:tc>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July 15, 2031)</w:t>
            </w:r>
          </w:p>
        </w:tc>
      </w:tr>
      <w:tr>
        <w:trPr>
          <w:trHeight w:val="157"/>
        </w:trPr>
        <w:tc>
          <w:tcPr>
            <w:tcW w:w="2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2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Subordinated Note, (effective yield 0%, maturity</w:t>
            </w:r>
          </w:p>
        </w:tc>
      </w:tr>
      <w:tr>
        <w:trPr>
          <w:trHeight w:val="208"/>
        </w:trPr>
        <w:tc>
          <w:tcPr>
            <w:tcW w:w="268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Invesco Euro CLO V DAC (6)(9)</w:t>
            </w:r>
          </w:p>
        </w:tc>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January 15, 2034)</w:t>
            </w:r>
          </w:p>
        </w:tc>
      </w:tr>
      <w:tr>
        <w:trPr>
          <w:trHeight w:val="157"/>
        </w:trPr>
        <w:tc>
          <w:tcPr>
            <w:tcW w:w="2680" w:type="dxa"/>
            <w:vAlign w:val="bottom"/>
            <w:gridSpan w:val="2"/>
          </w:tcPr>
          <w:p>
            <w:pPr>
              <w:ind w:left="340"/>
              <w:spacing w:after="0" w:line="156" w:lineRule="exact"/>
              <w:rPr>
                <w:sz w:val="20"/>
                <w:szCs w:val="20"/>
                <w:color w:val="auto"/>
              </w:rPr>
            </w:pPr>
            <w:r>
              <w:rPr>
                <w:rFonts w:ascii="Times New Roman" w:cs="Times New Roman" w:eastAsia="Times New Roman" w:hAnsi="Times New Roman"/>
                <w:sz w:val="15"/>
                <w:szCs w:val="15"/>
                <w:color w:val="auto"/>
              </w:rPr>
              <w:t>Jubilee CLO 2021-XXV DAC (6)</w:t>
            </w:r>
          </w:p>
        </w:tc>
        <w:tc>
          <w:tcPr>
            <w:tcW w:w="322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Subordinated Note, (effective yield 10.29%,</w:t>
            </w:r>
          </w:p>
        </w:tc>
      </w:tr>
      <w:tr>
        <w:trPr>
          <w:trHeight w:val="198"/>
        </w:trPr>
        <w:tc>
          <w:tcPr>
            <w:tcW w:w="26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tcPr>
          <w:p>
            <w:pPr>
              <w:spacing w:after="0"/>
              <w:rPr>
                <w:sz w:val="17"/>
                <w:szCs w:val="17"/>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October 15, 2035)</w:t>
            </w:r>
          </w:p>
        </w:tc>
      </w:tr>
      <w:tr>
        <w:trPr>
          <w:trHeight w:val="166"/>
        </w:trPr>
        <w:tc>
          <w:tcPr>
            <w:tcW w:w="2680" w:type="dxa"/>
            <w:vAlign w:val="bottom"/>
            <w:gridSpan w:val="2"/>
          </w:tcPr>
          <w:p>
            <w:pPr>
              <w:ind w:left="340"/>
              <w:spacing w:after="0" w:line="167" w:lineRule="exact"/>
              <w:rPr>
                <w:sz w:val="20"/>
                <w:szCs w:val="20"/>
                <w:color w:val="auto"/>
              </w:rPr>
            </w:pPr>
            <w:r>
              <w:rPr>
                <w:rFonts w:ascii="Times New Roman" w:cs="Times New Roman" w:eastAsia="Times New Roman" w:hAnsi="Times New Roman"/>
                <w:sz w:val="15"/>
                <w:szCs w:val="15"/>
                <w:color w:val="auto"/>
              </w:rPr>
              <w:t>OAK Hill European Credit Partners</w:t>
            </w:r>
          </w:p>
        </w:tc>
        <w:tc>
          <w:tcPr>
            <w:tcW w:w="322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Subordinated Note, (effective yield 19.5%,</w:t>
            </w:r>
          </w:p>
        </w:tc>
      </w:tr>
      <w:tr>
        <w:trPr>
          <w:trHeight w:val="198"/>
        </w:trPr>
        <w:tc>
          <w:tcPr>
            <w:tcW w:w="268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VII DAC (6)</w:t>
            </w:r>
          </w:p>
        </w:tc>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October 20, 2031)</w:t>
            </w:r>
          </w:p>
        </w:tc>
      </w:tr>
      <w:tr>
        <w:trPr>
          <w:trHeight w:val="166"/>
        </w:trPr>
        <w:tc>
          <w:tcPr>
            <w:tcW w:w="2680" w:type="dxa"/>
            <w:vAlign w:val="bottom"/>
            <w:gridSpan w:val="2"/>
          </w:tcPr>
          <w:p>
            <w:pPr>
              <w:ind w:left="340"/>
              <w:spacing w:after="0" w:line="167" w:lineRule="exact"/>
              <w:rPr>
                <w:sz w:val="20"/>
                <w:szCs w:val="20"/>
                <w:color w:val="auto"/>
              </w:rPr>
            </w:pPr>
            <w:r>
              <w:rPr>
                <w:rFonts w:ascii="Times New Roman" w:cs="Times New Roman" w:eastAsia="Times New Roman" w:hAnsi="Times New Roman"/>
                <w:sz w:val="15"/>
                <w:szCs w:val="15"/>
                <w:color w:val="auto"/>
              </w:rPr>
              <w:t>Palmer Square European Loan</w:t>
            </w:r>
          </w:p>
        </w:tc>
        <w:tc>
          <w:tcPr>
            <w:tcW w:w="322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Subordinated Note, (effective yield 16.87%,</w:t>
            </w:r>
          </w:p>
        </w:tc>
      </w:tr>
      <w:tr>
        <w:trPr>
          <w:trHeight w:val="198"/>
        </w:trPr>
        <w:tc>
          <w:tcPr>
            <w:tcW w:w="268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Funding 2022-1 DAC (6)(7)</w:t>
            </w:r>
          </w:p>
        </w:tc>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October 15, 2031)</w:t>
            </w:r>
          </w:p>
        </w:tc>
      </w:tr>
      <w:tr>
        <w:trPr>
          <w:trHeight w:val="166"/>
        </w:trPr>
        <w:tc>
          <w:tcPr>
            <w:tcW w:w="2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Subordinated Note, (effective yield 15.9%,</w:t>
            </w:r>
          </w:p>
        </w:tc>
      </w:tr>
      <w:tr>
        <w:trPr>
          <w:trHeight w:val="208"/>
        </w:trPr>
        <w:tc>
          <w:tcPr>
            <w:tcW w:w="268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St Paul's CLO IV DAC (6)</w:t>
            </w:r>
          </w:p>
        </w:tc>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April 25, 2030)</w:t>
            </w:r>
          </w:p>
        </w:tc>
      </w:tr>
      <w:tr>
        <w:trPr>
          <w:trHeight w:val="157"/>
        </w:trPr>
        <w:tc>
          <w:tcPr>
            <w:tcW w:w="2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2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Subordinated Note, (effective yield 19.08%,</w:t>
            </w:r>
          </w:p>
        </w:tc>
      </w:tr>
      <w:tr>
        <w:trPr>
          <w:trHeight w:val="208"/>
        </w:trPr>
        <w:tc>
          <w:tcPr>
            <w:tcW w:w="268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St Paul's CLO VII DAC (6)</w:t>
            </w:r>
          </w:p>
        </w:tc>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July 18, 2034)</w:t>
            </w:r>
          </w:p>
        </w:tc>
      </w:tr>
      <w:tr>
        <w:trPr>
          <w:trHeight w:val="157"/>
        </w:trPr>
        <w:tc>
          <w:tcPr>
            <w:tcW w:w="2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2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Subordinated Note, (effective yield 9.48%,</w:t>
            </w:r>
          </w:p>
        </w:tc>
      </w:tr>
      <w:tr>
        <w:trPr>
          <w:trHeight w:val="208"/>
        </w:trPr>
        <w:tc>
          <w:tcPr>
            <w:tcW w:w="268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Tikehau CLO XIII DAC (6)(7)</w:t>
            </w:r>
          </w:p>
        </w:tc>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maturity October 15, 2038)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-3131820</wp:posOffset>
            </wp:positionV>
            <wp:extent cx="7012305"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12305" cy="12890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-2771775</wp:posOffset>
            </wp:positionV>
            <wp:extent cx="7012305" cy="2311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12305" cy="2311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-2308860</wp:posOffset>
            </wp:positionV>
            <wp:extent cx="7012305" cy="2311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12305" cy="2311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-1845945</wp:posOffset>
            </wp:positionV>
            <wp:extent cx="7012305" cy="2317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12305" cy="2317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-1383030</wp:posOffset>
            </wp:positionV>
            <wp:extent cx="7012305" cy="2317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12305" cy="2317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-920115</wp:posOffset>
            </wp:positionV>
            <wp:extent cx="7012305" cy="2311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12305" cy="2311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-457200</wp:posOffset>
            </wp:positionV>
            <wp:extent cx="7012305" cy="2317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012305" cy="2317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5080</wp:posOffset>
            </wp:positionV>
            <wp:extent cx="7012305"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12305"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5"/>
          <w:szCs w:val="15"/>
          <w:b w:val="1"/>
          <w:bCs w:val="1"/>
          <w:color w:val="auto"/>
        </w:rPr>
        <w:t>Total Collateralized Loan Obligations - Equity, European Union—Various</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Total Collateralized Loan Obligations - Equity</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Bank Debt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012305"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12305" cy="128905"/>
                    </a:xfrm>
                    <a:prstGeom prst="rect">
                      <a:avLst/>
                    </a:prstGeom>
                    <a:noFill/>
                  </pic:spPr>
                </pic:pic>
              </a:graphicData>
            </a:graphic>
          </wp:anchor>
        </w:drawing>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b w:val="1"/>
          <w:bCs w:val="1"/>
          <w:color w:val="auto"/>
        </w:rPr>
        <w:t>United States (4)</w:t>
      </w:r>
    </w:p>
    <w:p>
      <w:pPr>
        <w:spacing w:after="0" w:line="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color w:val="auto"/>
        </w:rPr>
        <w:t>Automotive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012305"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0123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Acquisition</w:t>
            </w:r>
          </w:p>
        </w:tc>
        <w:tc>
          <w:tcPr>
            <w:tcW w:w="16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Principal</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 of Net</w:t>
            </w:r>
          </w:p>
        </w:tc>
        <w:tc>
          <w:tcPr>
            <w:tcW w:w="140" w:type="dxa"/>
            <w:vAlign w:val="bottom"/>
          </w:tcPr>
          <w:p>
            <w:pPr>
              <w:spacing w:after="0"/>
              <w:rPr>
                <w:sz w:val="15"/>
                <w:szCs w:val="15"/>
                <w:color w:val="auto"/>
              </w:rPr>
            </w:pPr>
          </w:p>
        </w:tc>
      </w:tr>
      <w:tr>
        <w:trPr>
          <w:trHeight w:val="216"/>
        </w:trPr>
        <w:tc>
          <w:tcPr>
            <w:tcW w:w="1040" w:type="dxa"/>
            <w:vAlign w:val="bottom"/>
            <w:gridSpan w:val="2"/>
          </w:tcPr>
          <w:p>
            <w:pPr>
              <w:jc w:val="center"/>
              <w:ind w:right="60"/>
              <w:spacing w:after="0" w:line="216" w:lineRule="exact"/>
              <w:rPr>
                <w:sz w:val="20"/>
                <w:szCs w:val="20"/>
                <w:color w:val="auto"/>
              </w:rPr>
            </w:pPr>
            <w:r>
              <w:rPr>
                <w:rFonts w:ascii="Times New Roman" w:cs="Times New Roman" w:eastAsia="Times New Roman" w:hAnsi="Times New Roman"/>
                <w:sz w:val="15"/>
                <w:szCs w:val="15"/>
                <w:b w:val="1"/>
                <w:bCs w:val="1"/>
                <w:color w:val="auto"/>
                <w:w w:val="93"/>
              </w:rPr>
              <w:t>Date</w:t>
            </w:r>
            <w:r>
              <w:rPr>
                <w:rFonts w:ascii="Times New Roman" w:cs="Times New Roman" w:eastAsia="Times New Roman" w:hAnsi="Times New Roman"/>
                <w:sz w:val="19"/>
                <w:szCs w:val="19"/>
                <w:b w:val="1"/>
                <w:bCs w:val="1"/>
                <w:color w:val="auto"/>
                <w:w w:val="93"/>
                <w:vertAlign w:val="superscript"/>
              </w:rPr>
              <w:t>(2)</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Amount/Shares</w:t>
            </w:r>
          </w:p>
        </w:tc>
        <w:tc>
          <w:tcPr>
            <w:tcW w:w="200" w:type="dxa"/>
            <w:vAlign w:val="bottom"/>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Cost</w:t>
            </w:r>
          </w:p>
        </w:tc>
        <w:tc>
          <w:tcPr>
            <w:tcW w:w="98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15"/>
                <w:szCs w:val="15"/>
                <w:b w:val="1"/>
                <w:bCs w:val="1"/>
                <w:color w:val="auto"/>
              </w:rPr>
              <w:t>Fair Value</w:t>
            </w:r>
            <w:r>
              <w:rPr>
                <w:rFonts w:ascii="Times New Roman" w:cs="Times New Roman" w:eastAsia="Times New Roman" w:hAnsi="Times New Roman"/>
                <w:sz w:val="19"/>
                <w:szCs w:val="19"/>
                <w:b w:val="1"/>
                <w:bCs w:val="1"/>
                <w:color w:val="auto"/>
                <w:vertAlign w:val="superscript"/>
              </w:rPr>
              <w:t>(3)</w:t>
            </w: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40" w:type="dxa"/>
            <w:vAlign w:val="bottom"/>
          </w:tcPr>
          <w:p>
            <w:pPr>
              <w:spacing w:after="0"/>
              <w:rPr>
                <w:sz w:val="18"/>
                <w:szCs w:val="18"/>
                <w:color w:val="auto"/>
              </w:rPr>
            </w:pPr>
          </w:p>
        </w:tc>
      </w:tr>
      <w:tr>
        <w:trPr>
          <w:trHeight w:val="755"/>
        </w:trPr>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02/13/25</w:t>
            </w:r>
          </w:p>
        </w:tc>
        <w:tc>
          <w:tcPr>
            <w:tcW w:w="80" w:type="dxa"/>
            <w:vAlign w:val="bottom"/>
          </w:tcPr>
          <w:p>
            <w:pPr>
              <w:spacing w:after="0"/>
              <w:rPr>
                <w:sz w:val="24"/>
                <w:szCs w:val="24"/>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3,521</w:t>
            </w:r>
          </w:p>
        </w:tc>
        <w:tc>
          <w:tcPr>
            <w:tcW w:w="80" w:type="dxa"/>
            <w:vAlign w:val="bottom"/>
          </w:tcPr>
          <w:p>
            <w:pPr>
              <w:spacing w:after="0"/>
              <w:rPr>
                <w:sz w:val="24"/>
                <w:szCs w:val="24"/>
                <w:color w:val="auto"/>
              </w:rPr>
            </w:pPr>
          </w:p>
        </w:tc>
        <w:tc>
          <w:tcPr>
            <w:tcW w:w="20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1,339</w:t>
            </w:r>
          </w:p>
        </w:tc>
        <w:tc>
          <w:tcPr>
            <w:tcW w:w="80" w:type="dxa"/>
            <w:vAlign w:val="bottom"/>
          </w:tcPr>
          <w:p>
            <w:pPr>
              <w:spacing w:after="0"/>
              <w:rPr>
                <w:sz w:val="24"/>
                <w:szCs w:val="24"/>
                <w:color w:val="auto"/>
              </w:rPr>
            </w:pPr>
          </w:p>
        </w:tc>
        <w:tc>
          <w:tcPr>
            <w:tcW w:w="22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1,305</w:t>
            </w:r>
          </w:p>
        </w:tc>
        <w:tc>
          <w:tcPr>
            <w:tcW w:w="80" w:type="dxa"/>
            <w:vAlign w:val="bottom"/>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0.58</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02/12/25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418</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0.18</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01/21/25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0.06</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03/27/25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0.03</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01/22/25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0.06</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03/27/24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0.10</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03/27/24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0.13</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01/27/25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1,223</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0.54</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05/23/24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693</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0.31</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03/27/24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1,353</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0.60</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5"/>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05/31/24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559</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0.25</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4"/>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04/05/24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714</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0.32</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369"/>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02/27/25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2,348</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1,899</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2,087</w:t>
            </w:r>
          </w:p>
        </w:tc>
        <w:tc>
          <w:tcPr>
            <w:tcW w:w="8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0.93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200"/>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9,468</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9,208</w:t>
            </w:r>
          </w:p>
        </w:tc>
        <w:tc>
          <w:tcPr>
            <w:tcW w:w="80" w:type="dxa"/>
            <w:vAlign w:val="bottom"/>
          </w:tcPr>
          <w:p>
            <w:pPr>
              <w:spacing w:after="0"/>
              <w:rPr>
                <w:sz w:val="17"/>
                <w:szCs w:val="17"/>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4.09 %</w:t>
            </w: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195,438</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194,046</w:t>
            </w:r>
          </w:p>
        </w:tc>
        <w:tc>
          <w:tcPr>
            <w:tcW w:w="80" w:type="dxa"/>
            <w:vAlign w:val="bottom"/>
          </w:tcPr>
          <w:p>
            <w:pPr>
              <w:spacing w:after="0"/>
              <w:rPr>
                <w:sz w:val="17"/>
                <w:szCs w:val="17"/>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86.21 %</w:t>
            </w:r>
          </w:p>
        </w:tc>
      </w:tr>
      <w:tr>
        <w:trPr>
          <w:trHeight w:val="21"/>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bl>
    <w:p>
      <w:pPr>
        <w:spacing w:after="0" w:line="576" w:lineRule="exact"/>
        <w:rPr>
          <w:sz w:val="20"/>
          <w:szCs w:val="20"/>
          <w:color w:val="auto"/>
        </w:rPr>
      </w:pPr>
    </w:p>
    <w:p>
      <w:pPr>
        <w:sectPr>
          <w:pgSz w:w="11900" w:h="16838" w:orient="portrait"/>
          <w:cols w:equalWidth="0" w:num="2">
            <w:col w:w="5900" w:space="80"/>
            <w:col w:w="5060"/>
          </w:cols>
          <w:pgMar w:left="420" w:top="968" w:right="439" w:bottom="1440" w:gutter="0" w:footer="0" w:header="0"/>
          <w:type w:val="continuous"/>
        </w:sectPr>
      </w:pP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First Brands Group LLC (6)</w:t>
      </w:r>
    </w:p>
    <w:p>
      <w:pPr>
        <w:spacing w:after="0" w:line="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color w:val="auto"/>
        </w:rPr>
        <w:t>Services: Business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CareerBuilder, LLC (6)</w:t>
      </w:r>
    </w:p>
    <w:p>
      <w:pPr>
        <w:spacing w:after="0" w:line="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color w:val="auto"/>
        </w:rPr>
        <w:t>Beverage, Food &amp; Tobacco</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Isagenix International LLC (6)</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Moran Foods LLC (6)</w:t>
      </w:r>
    </w:p>
    <w:p>
      <w:pPr>
        <w:spacing w:after="0" w:line="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color w:val="auto"/>
        </w:rPr>
        <w:t>Chemicals, Plastics &amp; Rubber</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Flint Group Topco Limited (6)</w:t>
      </w:r>
    </w:p>
    <w:p>
      <w:pPr>
        <w:spacing w:after="0" w:line="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color w:val="auto"/>
        </w:rPr>
        <w:t>Telecommunications</w:t>
      </w:r>
    </w:p>
    <w:p>
      <w:pPr>
        <w:spacing w:after="0" w:line="20" w:lineRule="exact"/>
        <w:rPr>
          <w:sz w:val="20"/>
          <w:szCs w:val="20"/>
          <w:color w:val="auto"/>
        </w:rPr>
      </w:pPr>
      <w:r>
        <w:rPr>
          <w:sz w:val="20"/>
          <w:szCs w:val="20"/>
          <w:color w:val="auto"/>
        </w:rPr>
        <w:br w:type="column"/>
      </w:r>
    </w:p>
    <w:p>
      <w:pPr>
        <w:ind w:right="160"/>
        <w:spacing w:after="0" w:line="242" w:lineRule="auto"/>
        <w:rPr>
          <w:sz w:val="20"/>
          <w:szCs w:val="20"/>
          <w:color w:val="auto"/>
        </w:rPr>
      </w:pPr>
      <w:r>
        <w:rPr>
          <w:rFonts w:ascii="Times New Roman" w:cs="Times New Roman" w:eastAsia="Times New Roman" w:hAnsi="Times New Roman"/>
          <w:sz w:val="15"/>
          <w:szCs w:val="15"/>
          <w:color w:val="auto"/>
        </w:rPr>
        <w:t>Bank Debt Term Loan, 9.57% (SOFR + 5.26%, maturity March 30,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12700</wp:posOffset>
            </wp:positionV>
            <wp:extent cx="7012305" cy="128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12305" cy="128905"/>
                    </a:xfrm>
                    <a:prstGeom prst="rect">
                      <a:avLst/>
                    </a:prstGeom>
                    <a:noFill/>
                  </pic:spPr>
                </pic:pic>
              </a:graphicData>
            </a:graphic>
          </wp:anchor>
        </w:drawing>
      </w:r>
    </w:p>
    <w:p>
      <w:pPr>
        <w:spacing w:after="0" w:line="19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5"/>
          <w:szCs w:val="15"/>
          <w:color w:val="auto"/>
        </w:rPr>
        <w:t>Bank Debt Term Loan, % ( + %, maturity July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12700</wp:posOffset>
            </wp:positionV>
            <wp:extent cx="7012305" cy="1282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12305" cy="128270"/>
                    </a:xfrm>
                    <a:prstGeom prst="rect">
                      <a:avLst/>
                    </a:prstGeom>
                    <a:noFill/>
                  </pic:spPr>
                </pic:pic>
              </a:graphicData>
            </a:graphic>
          </wp:anchor>
        </w:drawing>
      </w:r>
    </w:p>
    <w:p>
      <w:pPr>
        <w:spacing w:after="0" w:line="199" w:lineRule="exact"/>
        <w:rPr>
          <w:sz w:val="20"/>
          <w:szCs w:val="20"/>
          <w:color w:val="auto"/>
        </w:rPr>
      </w:pPr>
    </w:p>
    <w:p>
      <w:pPr>
        <w:ind w:right="320"/>
        <w:spacing w:after="0" w:line="242" w:lineRule="auto"/>
        <w:rPr>
          <w:sz w:val="20"/>
          <w:szCs w:val="20"/>
          <w:color w:val="auto"/>
        </w:rPr>
      </w:pPr>
      <w:r>
        <w:rPr>
          <w:rFonts w:ascii="Times New Roman" w:cs="Times New Roman" w:eastAsia="Times New Roman" w:hAnsi="Times New Roman"/>
          <w:sz w:val="15"/>
          <w:szCs w:val="15"/>
          <w:color w:val="auto"/>
        </w:rPr>
        <w:t>Bank Debt Term Loan, 2.5% (SOFR + 2.5%, maturity September 22, 2027)</w:t>
      </w:r>
    </w:p>
    <w:p>
      <w:pPr>
        <w:spacing w:after="0" w:line="17"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5"/>
          <w:szCs w:val="15"/>
          <w:color w:val="auto"/>
        </w:rPr>
        <w:t>Bank Debt Term Loan, 9.35% (SOFR + 5.35%, maturity 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-217805</wp:posOffset>
            </wp:positionV>
            <wp:extent cx="7012305" cy="2317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12305" cy="231775"/>
                    </a:xfrm>
                    <a:prstGeom prst="rect">
                      <a:avLst/>
                    </a:prstGeom>
                    <a:noFill/>
                  </pic:spPr>
                </pic:pic>
              </a:graphicData>
            </a:graphic>
          </wp:anchor>
        </w:drawing>
      </w:r>
    </w:p>
    <w:p>
      <w:pPr>
        <w:spacing w:after="0" w:line="199"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5"/>
          <w:szCs w:val="15"/>
          <w:color w:val="auto"/>
        </w:rPr>
        <w:t>Bank Debt Term Loan, 11.02% (SOFR + 7.16%, maturity December 31,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-217805</wp:posOffset>
            </wp:positionV>
            <wp:extent cx="7012305" cy="2317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12305" cy="231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6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97"/>
              </w:rPr>
              <w:t>09/29/25</w:t>
            </w:r>
          </w:p>
        </w:tc>
        <w:tc>
          <w:tcPr>
            <w:tcW w:w="56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103</w:t>
            </w:r>
          </w:p>
        </w:tc>
        <w:tc>
          <w:tcPr>
            <w:tcW w:w="44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38</w:t>
            </w:r>
          </w:p>
        </w:tc>
        <w:tc>
          <w:tcPr>
            <w:tcW w:w="46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37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0.02</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567"/>
        </w:trPr>
        <w:tc>
          <w:tcPr>
            <w:tcW w:w="6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97"/>
              </w:rPr>
              <w:t>09/19/24</w:t>
            </w:r>
          </w:p>
        </w:tc>
        <w:tc>
          <w:tcPr>
            <w:tcW w:w="560" w:type="dxa"/>
            <w:vAlign w:val="bottom"/>
          </w:tcPr>
          <w:p>
            <w:pPr>
              <w:spacing w:after="0"/>
              <w:rPr>
                <w:sz w:val="24"/>
                <w:szCs w:val="24"/>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467</w:t>
            </w:r>
          </w:p>
        </w:tc>
        <w:tc>
          <w:tcPr>
            <w:tcW w:w="440" w:type="dxa"/>
            <w:vAlign w:val="bottom"/>
          </w:tcPr>
          <w:p>
            <w:pPr>
              <w:spacing w:after="0"/>
              <w:rPr>
                <w:sz w:val="24"/>
                <w:szCs w:val="24"/>
                <w:color w:val="auto"/>
              </w:rPr>
            </w:pP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30</w:t>
            </w:r>
          </w:p>
        </w:tc>
        <w:tc>
          <w:tcPr>
            <w:tcW w:w="460" w:type="dxa"/>
            <w:vAlign w:val="bottom"/>
          </w:tcPr>
          <w:p>
            <w:pPr>
              <w:spacing w:after="0"/>
              <w:rPr>
                <w:sz w:val="24"/>
                <w:szCs w:val="24"/>
                <w:color w:val="auto"/>
              </w:rPr>
            </w:pPr>
          </w:p>
        </w:tc>
        <w:tc>
          <w:tcPr>
            <w:tcW w:w="7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30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0.01</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567"/>
        </w:trPr>
        <w:tc>
          <w:tcPr>
            <w:tcW w:w="6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97"/>
              </w:rPr>
              <w:t>07/31/25</w:t>
            </w:r>
          </w:p>
        </w:tc>
        <w:tc>
          <w:tcPr>
            <w:tcW w:w="560" w:type="dxa"/>
            <w:vAlign w:val="bottom"/>
          </w:tcPr>
          <w:p>
            <w:pPr>
              <w:spacing w:after="0"/>
              <w:rPr>
                <w:sz w:val="24"/>
                <w:szCs w:val="24"/>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100</w:t>
            </w:r>
          </w:p>
        </w:tc>
        <w:tc>
          <w:tcPr>
            <w:tcW w:w="440" w:type="dxa"/>
            <w:vAlign w:val="bottom"/>
          </w:tcPr>
          <w:p>
            <w:pPr>
              <w:spacing w:after="0"/>
              <w:rPr>
                <w:sz w:val="24"/>
                <w:szCs w:val="24"/>
                <w:color w:val="auto"/>
              </w:rPr>
            </w:pP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w:t>
            </w:r>
          </w:p>
        </w:tc>
        <w:tc>
          <w:tcPr>
            <w:tcW w:w="460" w:type="dxa"/>
            <w:vAlign w:val="bottom"/>
          </w:tcPr>
          <w:p>
            <w:pPr>
              <w:spacing w:after="0"/>
              <w:rPr>
                <w:sz w:val="24"/>
                <w:szCs w:val="24"/>
                <w:color w:val="auto"/>
              </w:rPr>
            </w:pPr>
          </w:p>
        </w:tc>
        <w:tc>
          <w:tcPr>
            <w:tcW w:w="7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10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0.01</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4"/>
        </w:trPr>
        <w:tc>
          <w:tcPr>
            <w:tcW w:w="6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97"/>
              </w:rPr>
              <w:t>07/31/25</w:t>
            </w:r>
          </w:p>
        </w:tc>
        <w:tc>
          <w:tcPr>
            <w:tcW w:w="560" w:type="dxa"/>
            <w:vAlign w:val="bottom"/>
          </w:tcPr>
          <w:p>
            <w:pPr>
              <w:spacing w:after="0"/>
              <w:rPr>
                <w:sz w:val="24"/>
                <w:szCs w:val="24"/>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236</w:t>
            </w:r>
          </w:p>
        </w:tc>
        <w:tc>
          <w:tcPr>
            <w:tcW w:w="440" w:type="dxa"/>
            <w:vAlign w:val="bottom"/>
          </w:tcPr>
          <w:p>
            <w:pPr>
              <w:spacing w:after="0"/>
              <w:rPr>
                <w:sz w:val="24"/>
                <w:szCs w:val="24"/>
                <w:color w:val="auto"/>
              </w:rPr>
            </w:pP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24"/>
                <w:szCs w:val="24"/>
                <w:color w:val="auto"/>
              </w:rPr>
            </w:pPr>
          </w:p>
        </w:tc>
        <w:tc>
          <w:tcPr>
            <w:tcW w:w="7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28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0.01</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567"/>
        </w:trPr>
        <w:tc>
          <w:tcPr>
            <w:tcW w:w="6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97"/>
              </w:rPr>
              <w:t>10/01/24</w:t>
            </w:r>
          </w:p>
        </w:tc>
        <w:tc>
          <w:tcPr>
            <w:tcW w:w="560" w:type="dxa"/>
            <w:vAlign w:val="bottom"/>
          </w:tcPr>
          <w:p>
            <w:pPr>
              <w:spacing w:after="0"/>
              <w:rPr>
                <w:sz w:val="24"/>
                <w:szCs w:val="24"/>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618</w:t>
            </w:r>
          </w:p>
        </w:tc>
        <w:tc>
          <w:tcPr>
            <w:tcW w:w="440" w:type="dxa"/>
            <w:vAlign w:val="bottom"/>
          </w:tcPr>
          <w:p>
            <w:pPr>
              <w:spacing w:after="0"/>
              <w:rPr>
                <w:sz w:val="24"/>
                <w:szCs w:val="24"/>
                <w:color w:val="auto"/>
              </w:rPr>
            </w:pPr>
          </w:p>
        </w:tc>
        <w:tc>
          <w:tcPr>
            <w:tcW w:w="5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27</w:t>
            </w:r>
          </w:p>
        </w:tc>
        <w:tc>
          <w:tcPr>
            <w:tcW w:w="460" w:type="dxa"/>
            <w:vAlign w:val="bottom"/>
          </w:tcPr>
          <w:p>
            <w:pPr>
              <w:spacing w:after="0"/>
              <w:rPr>
                <w:sz w:val="24"/>
                <w:szCs w:val="24"/>
                <w:color w:val="auto"/>
              </w:rPr>
            </w:pPr>
          </w:p>
        </w:tc>
        <w:tc>
          <w:tcPr>
            <w:tcW w:w="7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31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0.01</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198" w:lineRule="exact"/>
        <w:rPr>
          <w:sz w:val="20"/>
          <w:szCs w:val="20"/>
          <w:color w:val="auto"/>
        </w:rPr>
      </w:pPr>
    </w:p>
    <w:p>
      <w:pPr>
        <w:sectPr>
          <w:pgSz w:w="11900" w:h="16838" w:orient="portrait"/>
          <w:cols w:equalWidth="0" w:num="3">
            <w:col w:w="2220" w:space="480"/>
            <w:col w:w="3080" w:space="420"/>
            <w:col w:w="4840"/>
          </w:cols>
          <w:pgMar w:left="420" w:top="968" w:right="439" w:bottom="1440" w:gutter="0" w:footer="0" w:header="0"/>
          <w:type w:val="continuous"/>
        </w:sectPr>
      </w:pPr>
    </w:p>
    <w:p>
      <w:pPr>
        <w:ind w:left="2700"/>
        <w:spacing w:after="0"/>
        <w:rPr>
          <w:sz w:val="20"/>
          <w:szCs w:val="20"/>
          <w:color w:val="auto"/>
        </w:rPr>
      </w:pPr>
      <w:r>
        <w:rPr>
          <w:rFonts w:ascii="Times New Roman" w:cs="Times New Roman" w:eastAsia="Times New Roman" w:hAnsi="Times New Roman"/>
          <w:sz w:val="15"/>
          <w:szCs w:val="15"/>
          <w:color w:val="auto"/>
        </w:rPr>
        <w:t>Bank Debt Term Loan, 6.53% (SOFR + 2.36%,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-101600</wp:posOffset>
            </wp:positionV>
            <wp:extent cx="7012305" cy="2311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12305" cy="231140"/>
                    </a:xfrm>
                    <a:prstGeom prst="rect">
                      <a:avLst/>
                    </a:prstGeom>
                    <a:noFill/>
                  </pic:spPr>
                </pic:pic>
              </a:graphicData>
            </a:graphic>
          </wp:anchor>
        </w:drawing>
      </w:r>
    </w:p>
    <w:p>
      <w:pPr>
        <w:ind w:left="340"/>
        <w:spacing w:after="0"/>
        <w:tabs>
          <w:tab w:leader="none" w:pos="2680" w:val="left"/>
        </w:tabs>
        <w:rPr>
          <w:sz w:val="20"/>
          <w:szCs w:val="20"/>
          <w:color w:val="auto"/>
        </w:rPr>
      </w:pPr>
      <w:r>
        <w:rPr>
          <w:rFonts w:ascii="Times New Roman" w:cs="Times New Roman" w:eastAsia="Times New Roman" w:hAnsi="Times New Roman"/>
          <w:sz w:val="15"/>
          <w:szCs w:val="15"/>
          <w:color w:val="auto"/>
        </w:rPr>
        <w:t>Lumen Technologies, Inc. (6)</w:t>
      </w:r>
      <w:r>
        <w:rPr>
          <w:sz w:val="20"/>
          <w:szCs w:val="20"/>
          <w:color w:val="auto"/>
        </w:rPr>
        <w:tab/>
      </w:r>
      <w:r>
        <w:rPr>
          <w:rFonts w:ascii="Times New Roman" w:cs="Times New Roman" w:eastAsia="Times New Roman" w:hAnsi="Times New Roman"/>
          <w:sz w:val="15"/>
          <w:szCs w:val="15"/>
          <w:color w:val="auto"/>
        </w:rPr>
        <w:t>maturity March 15, 2027)</w:t>
      </w:r>
    </w:p>
    <w:p>
      <w:pPr>
        <w:spacing w:after="0" w:line="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color w:val="auto"/>
        </w:rPr>
        <w:t>Retail / Consumer Goods: Non-Durable</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260" w:type="dxa"/>
            <w:vAlign w:val="bottom"/>
          </w:tcPr>
          <w:p>
            <w:pPr>
              <w:spacing w:after="0"/>
              <w:rPr>
                <w:sz w:val="15"/>
                <w:szCs w:val="15"/>
                <w:color w:val="auto"/>
              </w:rPr>
            </w:pPr>
          </w:p>
        </w:tc>
        <w:tc>
          <w:tcPr>
            <w:tcW w:w="34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Bank Debt Term Loan, 11.05% (SOFR + 6.85%,</w:t>
            </w:r>
          </w:p>
        </w:tc>
      </w:tr>
      <w:tr>
        <w:trPr>
          <w:trHeight w:val="208"/>
        </w:trPr>
        <w:tc>
          <w:tcPr>
            <w:tcW w:w="22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Solaray, LLC (6)</w:t>
            </w:r>
          </w:p>
        </w:tc>
        <w:tc>
          <w:tcPr>
            <w:tcW w:w="34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maturity December 15, 2025)</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Bank Debt Term Loan</w:t>
            </w:r>
          </w:p>
        </w:tc>
        <w:tc>
          <w:tcPr>
            <w:tcW w:w="34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-363220</wp:posOffset>
            </wp:positionV>
            <wp:extent cx="7012305" cy="2311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12305" cy="2311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1060" w:type="dxa"/>
            <w:vAlign w:val="bottom"/>
          </w:tcPr>
          <w:p>
            <w:pPr>
              <w:jc w:val="right"/>
              <w:ind w:right="444"/>
              <w:spacing w:after="0"/>
              <w:rPr>
                <w:sz w:val="20"/>
                <w:szCs w:val="20"/>
                <w:color w:val="auto"/>
              </w:rPr>
            </w:pPr>
            <w:r>
              <w:rPr>
                <w:rFonts w:ascii="Times New Roman" w:cs="Times New Roman" w:eastAsia="Times New Roman" w:hAnsi="Times New Roman"/>
                <w:sz w:val="15"/>
                <w:szCs w:val="15"/>
                <w:color w:val="auto"/>
                <w:w w:val="97"/>
              </w:rPr>
              <w:t>09/19/24</w:t>
            </w:r>
          </w:p>
        </w:tc>
        <w:tc>
          <w:tcPr>
            <w:tcW w:w="9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206</w:t>
            </w:r>
          </w:p>
        </w:tc>
        <w:tc>
          <w:tcPr>
            <w:tcW w:w="3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0.09</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571"/>
        </w:trPr>
        <w:tc>
          <w:tcPr>
            <w:tcW w:w="1060" w:type="dxa"/>
            <w:vAlign w:val="bottom"/>
          </w:tcPr>
          <w:p>
            <w:pPr>
              <w:jc w:val="right"/>
              <w:ind w:right="444"/>
              <w:spacing w:after="0"/>
              <w:rPr>
                <w:sz w:val="20"/>
                <w:szCs w:val="20"/>
                <w:color w:val="auto"/>
              </w:rPr>
            </w:pPr>
            <w:r>
              <w:rPr>
                <w:rFonts w:ascii="Times New Roman" w:cs="Times New Roman" w:eastAsia="Times New Roman" w:hAnsi="Times New Roman"/>
                <w:sz w:val="15"/>
                <w:szCs w:val="15"/>
                <w:color w:val="auto"/>
                <w:w w:val="97"/>
              </w:rPr>
              <w:t>09/24/24</w:t>
            </w:r>
          </w:p>
        </w:tc>
        <w:tc>
          <w:tcPr>
            <w:tcW w:w="9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291</w:t>
            </w: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252</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254</w:t>
            </w:r>
          </w:p>
        </w:tc>
        <w:tc>
          <w:tcPr>
            <w:tcW w:w="8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547</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593</w:t>
            </w:r>
          </w:p>
        </w:tc>
        <w:tc>
          <w:tcPr>
            <w:tcW w:w="80" w:type="dxa"/>
            <w:vAlign w:val="bottom"/>
          </w:tcPr>
          <w:p>
            <w:pPr>
              <w:spacing w:after="0"/>
              <w:rPr>
                <w:sz w:val="17"/>
                <w:szCs w:val="17"/>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0.26 %</w:t>
            </w:r>
          </w:p>
        </w:tc>
      </w:tr>
    </w:tbl>
    <w:p>
      <w:pPr>
        <w:spacing w:after="0" w:line="200" w:lineRule="exact"/>
        <w:rPr>
          <w:sz w:val="20"/>
          <w:szCs w:val="20"/>
          <w:color w:val="auto"/>
        </w:rPr>
      </w:pPr>
    </w:p>
    <w:p>
      <w:pPr>
        <w:sectPr>
          <w:pgSz w:w="11900" w:h="16838" w:orient="portrait"/>
          <w:cols w:equalWidth="0" w:num="2">
            <w:col w:w="5680" w:space="520"/>
            <w:col w:w="4840"/>
          </w:cols>
          <w:pgMar w:left="420" w:top="968" w:right="4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40"/>
          </w:cols>
          <w:pgMar w:left="420" w:top="968" w:right="4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48895</wp:posOffset>
            </wp:positionV>
            <wp:extent cx="701230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080" w:type="dxa"/>
            <w:vAlign w:val="bottom"/>
          </w:tcPr>
          <w:p>
            <w:pPr>
              <w:jc w:val="center"/>
              <w:ind w:left="24"/>
              <w:spacing w:after="0"/>
              <w:rPr>
                <w:sz w:val="20"/>
                <w:szCs w:val="20"/>
                <w:color w:val="auto"/>
              </w:rPr>
            </w:pPr>
            <w:r>
              <w:rPr>
                <w:rFonts w:ascii="Times New Roman" w:cs="Times New Roman" w:eastAsia="Times New Roman" w:hAnsi="Times New Roman"/>
                <w:sz w:val="15"/>
                <w:szCs w:val="15"/>
                <w:b w:val="1"/>
                <w:bCs w:val="1"/>
                <w:color w:val="auto"/>
              </w:rPr>
              <w:t>Acquisition</w:t>
            </w:r>
          </w:p>
        </w:tc>
        <w:tc>
          <w:tcPr>
            <w:tcW w:w="24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Principal</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 of Net</w:t>
            </w:r>
          </w:p>
        </w:tc>
      </w:tr>
      <w:tr>
        <w:trPr>
          <w:trHeight w:val="216"/>
        </w:trPr>
        <w:tc>
          <w:tcPr>
            <w:tcW w:w="2680" w:type="dxa"/>
            <w:vAlign w:val="bottom"/>
          </w:tcPr>
          <w:p>
            <w:pPr>
              <w:ind w:left="20"/>
              <w:spacing w:after="0" w:line="216" w:lineRule="exact"/>
              <w:rPr>
                <w:sz w:val="20"/>
                <w:szCs w:val="20"/>
                <w:color w:val="auto"/>
              </w:rPr>
            </w:pPr>
            <w:r>
              <w:rPr>
                <w:rFonts w:ascii="Times New Roman" w:cs="Times New Roman" w:eastAsia="Times New Roman" w:hAnsi="Times New Roman"/>
                <w:sz w:val="15"/>
                <w:szCs w:val="15"/>
                <w:b w:val="1"/>
                <w:bCs w:val="1"/>
                <w:color w:val="auto"/>
              </w:rPr>
              <w:t>Issuer</w:t>
            </w:r>
            <w:r>
              <w:rPr>
                <w:rFonts w:ascii="Times New Roman" w:cs="Times New Roman" w:eastAsia="Times New Roman" w:hAnsi="Times New Roman"/>
                <w:sz w:val="19"/>
                <w:szCs w:val="19"/>
                <w:b w:val="1"/>
                <w:bCs w:val="1"/>
                <w:color w:val="auto"/>
                <w:vertAlign w:val="superscript"/>
              </w:rPr>
              <w:t>(1)</w:t>
            </w:r>
          </w:p>
        </w:tc>
        <w:tc>
          <w:tcPr>
            <w:tcW w:w="3180" w:type="dxa"/>
            <w:vAlign w:val="bottom"/>
          </w:tcPr>
          <w:p>
            <w:pPr>
              <w:ind w:left="840"/>
              <w:spacing w:after="0"/>
              <w:rPr>
                <w:sz w:val="20"/>
                <w:szCs w:val="20"/>
                <w:color w:val="auto"/>
              </w:rPr>
            </w:pPr>
            <w:r>
              <w:rPr>
                <w:rFonts w:ascii="Times New Roman" w:cs="Times New Roman" w:eastAsia="Times New Roman" w:hAnsi="Times New Roman"/>
                <w:sz w:val="15"/>
                <w:szCs w:val="15"/>
                <w:b w:val="1"/>
                <w:bCs w:val="1"/>
                <w:color w:val="auto"/>
              </w:rPr>
              <w:t>Investment Description</w:t>
            </w:r>
          </w:p>
        </w:tc>
        <w:tc>
          <w:tcPr>
            <w:tcW w:w="1080" w:type="dxa"/>
            <w:vAlign w:val="bottom"/>
          </w:tcPr>
          <w:p>
            <w:pPr>
              <w:jc w:val="center"/>
              <w:ind w:left="24"/>
              <w:spacing w:after="0" w:line="216" w:lineRule="exact"/>
              <w:rPr>
                <w:sz w:val="20"/>
                <w:szCs w:val="20"/>
                <w:color w:val="auto"/>
              </w:rPr>
            </w:pPr>
            <w:r>
              <w:rPr>
                <w:rFonts w:ascii="Times New Roman" w:cs="Times New Roman" w:eastAsia="Times New Roman" w:hAnsi="Times New Roman"/>
                <w:sz w:val="15"/>
                <w:szCs w:val="15"/>
                <w:b w:val="1"/>
                <w:bCs w:val="1"/>
                <w:color w:val="auto"/>
                <w:w w:val="93"/>
              </w:rPr>
              <w:t>Date</w:t>
            </w:r>
            <w:r>
              <w:rPr>
                <w:rFonts w:ascii="Times New Roman" w:cs="Times New Roman" w:eastAsia="Times New Roman" w:hAnsi="Times New Roman"/>
                <w:sz w:val="19"/>
                <w:szCs w:val="19"/>
                <w:b w:val="1"/>
                <w:bCs w:val="1"/>
                <w:color w:val="auto"/>
                <w:w w:val="93"/>
                <w:vertAlign w:val="superscript"/>
              </w:rPr>
              <w:t>(2)</w:t>
            </w: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Amount/Shares</w:t>
            </w:r>
          </w:p>
        </w:tc>
        <w:tc>
          <w:tcPr>
            <w:tcW w:w="200" w:type="dxa"/>
            <w:vAlign w:val="bottom"/>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Cost</w:t>
            </w:r>
          </w:p>
        </w:tc>
        <w:tc>
          <w:tcPr>
            <w:tcW w:w="98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15"/>
                <w:szCs w:val="15"/>
                <w:b w:val="1"/>
                <w:bCs w:val="1"/>
                <w:color w:val="auto"/>
              </w:rPr>
              <w:t>Fair Value</w:t>
            </w:r>
            <w:r>
              <w:rPr>
                <w:rFonts w:ascii="Times New Roman" w:cs="Times New Roman" w:eastAsia="Times New Roman" w:hAnsi="Times New Roman"/>
                <w:sz w:val="19"/>
                <w:szCs w:val="19"/>
                <w:b w:val="1"/>
                <w:bCs w:val="1"/>
                <w:color w:val="auto"/>
                <w:vertAlign w:val="superscript"/>
              </w:rPr>
              <w:t>(3)</w:t>
            </w:r>
          </w:p>
        </w:tc>
        <w:tc>
          <w:tcPr>
            <w:tcW w:w="920" w:type="dxa"/>
            <w:vAlign w:val="bottom"/>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Assets</w:t>
            </w:r>
          </w:p>
        </w:tc>
      </w:tr>
      <w:tr>
        <w:trPr>
          <w:trHeight w:val="196"/>
        </w:trPr>
        <w:tc>
          <w:tcPr>
            <w:tcW w:w="2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3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203"/>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United States (4)</w:t>
            </w:r>
          </w:p>
        </w:tc>
        <w:tc>
          <w:tcPr>
            <w:tcW w:w="3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2"/>
        </w:trPr>
        <w:tc>
          <w:tcPr>
            <w:tcW w:w="268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Chemicals, Plastics &amp; Rubber</w:t>
            </w:r>
          </w:p>
        </w:tc>
        <w:tc>
          <w:tcPr>
            <w:tcW w:w="3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2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Flint Group Topco Limited</w:t>
            </w: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Common Stock</w:t>
            </w:r>
          </w:p>
        </w:tc>
        <w:tc>
          <w:tcPr>
            <w:tcW w:w="1080" w:type="dxa"/>
            <w:vAlign w:val="bottom"/>
            <w:shd w:val="clear" w:color="auto" w:fill="CCEEFF"/>
          </w:tcPr>
          <w:p>
            <w:pPr>
              <w:jc w:val="center"/>
              <w:ind w:left="24"/>
              <w:spacing w:after="0"/>
              <w:rPr>
                <w:sz w:val="20"/>
                <w:szCs w:val="20"/>
                <w:color w:val="auto"/>
              </w:rPr>
            </w:pPr>
            <w:r>
              <w:rPr>
                <w:rFonts w:ascii="Times New Roman" w:cs="Times New Roman" w:eastAsia="Times New Roman" w:hAnsi="Times New Roman"/>
                <w:sz w:val="15"/>
                <w:szCs w:val="15"/>
                <w:color w:val="auto"/>
              </w:rPr>
              <w:t>10/23/24</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02"/>
        </w:trPr>
        <w:tc>
          <w:tcPr>
            <w:tcW w:w="268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Metals &amp; Mining</w:t>
            </w:r>
          </w:p>
        </w:tc>
        <w:tc>
          <w:tcPr>
            <w:tcW w:w="3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2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FORESIGHT ENERGY LLC (6)</w:t>
            </w: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Common Stock</w:t>
            </w:r>
          </w:p>
        </w:tc>
        <w:tc>
          <w:tcPr>
            <w:tcW w:w="1080" w:type="dxa"/>
            <w:vAlign w:val="bottom"/>
            <w:shd w:val="clear" w:color="auto" w:fill="CCEEFF"/>
          </w:tcPr>
          <w:p>
            <w:pPr>
              <w:jc w:val="center"/>
              <w:ind w:left="24"/>
              <w:spacing w:after="0"/>
              <w:rPr>
                <w:sz w:val="20"/>
                <w:szCs w:val="20"/>
                <w:color w:val="auto"/>
              </w:rPr>
            </w:pPr>
            <w:r>
              <w:rPr>
                <w:rFonts w:ascii="Times New Roman" w:cs="Times New Roman" w:eastAsia="Times New Roman" w:hAnsi="Times New Roman"/>
                <w:sz w:val="15"/>
                <w:szCs w:val="15"/>
                <w:color w:val="auto"/>
              </w:rPr>
              <w:t>05/08/24</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02"/>
        </w:trPr>
        <w:tc>
          <w:tcPr>
            <w:tcW w:w="268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Aerospace &amp; Defense</w:t>
            </w:r>
          </w:p>
        </w:tc>
        <w:tc>
          <w:tcPr>
            <w:tcW w:w="3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2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New Constellis Holdings Inc (6)</w:t>
            </w: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Common Stock</w:t>
            </w:r>
          </w:p>
        </w:tc>
        <w:tc>
          <w:tcPr>
            <w:tcW w:w="1080" w:type="dxa"/>
            <w:vAlign w:val="bottom"/>
            <w:shd w:val="clear" w:color="auto" w:fill="CCEEFF"/>
          </w:tcPr>
          <w:p>
            <w:pPr>
              <w:jc w:val="center"/>
              <w:ind w:left="24"/>
              <w:spacing w:after="0"/>
              <w:rPr>
                <w:sz w:val="20"/>
                <w:szCs w:val="20"/>
                <w:color w:val="auto"/>
              </w:rPr>
            </w:pPr>
            <w:r>
              <w:rPr>
                <w:rFonts w:ascii="Times New Roman" w:cs="Times New Roman" w:eastAsia="Times New Roman" w:hAnsi="Times New Roman"/>
                <w:sz w:val="15"/>
                <w:szCs w:val="15"/>
                <w:color w:val="auto"/>
              </w:rPr>
              <w:t>09/19/24</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02"/>
        </w:trPr>
        <w:tc>
          <w:tcPr>
            <w:tcW w:w="586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Banking, Finance, Insurance &amp; Real Estate</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49"/>
        </w:trPr>
        <w:tc>
          <w:tcPr>
            <w:tcW w:w="268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5"/>
                <w:szCs w:val="15"/>
                <w:color w:val="auto"/>
              </w:rPr>
              <w:t>Resolute Investment Managers Inc</w:t>
            </w:r>
          </w:p>
        </w:tc>
        <w:tc>
          <w:tcPr>
            <w:tcW w:w="3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216"/>
        </w:trPr>
        <w:tc>
          <w:tcPr>
            <w:tcW w:w="2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(6)</w:t>
            </w: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Common Stock</w:t>
            </w:r>
          </w:p>
        </w:tc>
        <w:tc>
          <w:tcPr>
            <w:tcW w:w="1080" w:type="dxa"/>
            <w:vAlign w:val="bottom"/>
            <w:shd w:val="clear" w:color="auto" w:fill="CCEEFF"/>
          </w:tcPr>
          <w:p>
            <w:pPr>
              <w:jc w:val="center"/>
              <w:ind w:left="24"/>
              <w:spacing w:after="0"/>
              <w:rPr>
                <w:sz w:val="20"/>
                <w:szCs w:val="20"/>
                <w:color w:val="auto"/>
              </w:rPr>
            </w:pPr>
            <w:r>
              <w:rPr>
                <w:rFonts w:ascii="Times New Roman" w:cs="Times New Roman" w:eastAsia="Times New Roman" w:hAnsi="Times New Roman"/>
                <w:sz w:val="15"/>
                <w:szCs w:val="15"/>
                <w:color w:val="auto"/>
              </w:rPr>
              <w:t>09/19/24</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0.02 %</w:t>
            </w:r>
          </w:p>
        </w:tc>
      </w:tr>
      <w:tr>
        <w:trPr>
          <w:trHeight w:val="196"/>
        </w:trPr>
        <w:tc>
          <w:tcPr>
            <w:tcW w:w="2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 Common Stock</w:t>
            </w:r>
          </w:p>
        </w:tc>
        <w:tc>
          <w:tcPr>
            <w:tcW w:w="318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42</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39</w:t>
            </w: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0.02 %</w:t>
            </w:r>
          </w:p>
        </w:tc>
      </w:tr>
      <w:tr>
        <w:trPr>
          <w:trHeight w:val="18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Private Corporations</w:t>
            </w:r>
          </w:p>
        </w:tc>
        <w:tc>
          <w:tcPr>
            <w:tcW w:w="3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02"/>
        </w:trPr>
        <w:tc>
          <w:tcPr>
            <w:tcW w:w="268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United States (4)</w:t>
            </w:r>
          </w:p>
        </w:tc>
        <w:tc>
          <w:tcPr>
            <w:tcW w:w="3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Banking, Finance, Insurance &amp; Real Estate</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0"/>
        </w:trPr>
        <w:tc>
          <w:tcPr>
            <w:tcW w:w="26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Chief Power Finance LLC (6)</w:t>
            </w:r>
          </w:p>
        </w:tc>
        <w:tc>
          <w:tcPr>
            <w:tcW w:w="3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Private Equity Fund</w:t>
            </w:r>
          </w:p>
        </w:tc>
        <w:tc>
          <w:tcPr>
            <w:tcW w:w="1080" w:type="dxa"/>
            <w:vAlign w:val="bottom"/>
          </w:tcPr>
          <w:p>
            <w:pPr>
              <w:jc w:val="center"/>
              <w:ind w:left="24"/>
              <w:spacing w:after="0"/>
              <w:rPr>
                <w:sz w:val="20"/>
                <w:szCs w:val="20"/>
                <w:color w:val="auto"/>
              </w:rPr>
            </w:pPr>
            <w:r>
              <w:rPr>
                <w:rFonts w:ascii="Times New Roman" w:cs="Times New Roman" w:eastAsia="Times New Roman" w:hAnsi="Times New Roman"/>
                <w:sz w:val="15"/>
                <w:szCs w:val="15"/>
                <w:color w:val="auto"/>
              </w:rPr>
              <w:t>07/31/25</w:t>
            </w:r>
          </w:p>
        </w:tc>
        <w:tc>
          <w:tcPr>
            <w:tcW w:w="2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8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0.02 %</w:t>
            </w:r>
          </w:p>
        </w:tc>
      </w:tr>
      <w:tr>
        <w:trPr>
          <w:trHeight w:val="205"/>
        </w:trPr>
        <w:tc>
          <w:tcPr>
            <w:tcW w:w="2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Beverage, Food &amp; Tobacco</w:t>
            </w:r>
          </w:p>
        </w:tc>
        <w:tc>
          <w:tcPr>
            <w:tcW w:w="3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0"/>
        </w:trPr>
        <w:tc>
          <w:tcPr>
            <w:tcW w:w="26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Moran Foods LLC</w:t>
            </w:r>
          </w:p>
        </w:tc>
        <w:tc>
          <w:tcPr>
            <w:tcW w:w="3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Private Corporation</w:t>
            </w:r>
          </w:p>
        </w:tc>
        <w:tc>
          <w:tcPr>
            <w:tcW w:w="1080" w:type="dxa"/>
            <w:vAlign w:val="bottom"/>
          </w:tcPr>
          <w:p>
            <w:pPr>
              <w:jc w:val="center"/>
              <w:ind w:left="24"/>
              <w:spacing w:after="0"/>
              <w:rPr>
                <w:sz w:val="20"/>
                <w:szCs w:val="20"/>
                <w:color w:val="auto"/>
              </w:rPr>
            </w:pPr>
            <w:r>
              <w:rPr>
                <w:rFonts w:ascii="Times New Roman" w:cs="Times New Roman" w:eastAsia="Times New Roman" w:hAnsi="Times New Roman"/>
                <w:sz w:val="15"/>
                <w:szCs w:val="15"/>
                <w:color w:val="auto"/>
              </w:rPr>
              <w:t>07/31/25</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05"/>
        </w:trPr>
        <w:tc>
          <w:tcPr>
            <w:tcW w:w="2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Consumer Goods: Non-Durable</w:t>
            </w:r>
          </w:p>
        </w:tc>
        <w:tc>
          <w:tcPr>
            <w:tcW w:w="3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0"/>
        </w:trPr>
        <w:tc>
          <w:tcPr>
            <w:tcW w:w="26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Isagenix International LLC (6)</w:t>
            </w:r>
          </w:p>
        </w:tc>
        <w:tc>
          <w:tcPr>
            <w:tcW w:w="3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Private Corporation</w:t>
            </w:r>
          </w:p>
        </w:tc>
        <w:tc>
          <w:tcPr>
            <w:tcW w:w="1080" w:type="dxa"/>
            <w:vAlign w:val="bottom"/>
          </w:tcPr>
          <w:p>
            <w:pPr>
              <w:jc w:val="center"/>
              <w:ind w:left="24"/>
              <w:spacing w:after="0"/>
              <w:rPr>
                <w:sz w:val="20"/>
                <w:szCs w:val="20"/>
                <w:color w:val="auto"/>
              </w:rPr>
            </w:pPr>
            <w:r>
              <w:rPr>
                <w:rFonts w:ascii="Times New Roman" w:cs="Times New Roman" w:eastAsia="Times New Roman" w:hAnsi="Times New Roman"/>
                <w:sz w:val="15"/>
                <w:szCs w:val="15"/>
                <w:color w:val="auto"/>
              </w:rPr>
              <w:t>07/31/25</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05"/>
        </w:trPr>
        <w:tc>
          <w:tcPr>
            <w:tcW w:w="2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Containers, Packaging &amp; Glass</w:t>
            </w:r>
          </w:p>
        </w:tc>
        <w:tc>
          <w:tcPr>
            <w:tcW w:w="3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0"/>
        </w:trPr>
        <w:tc>
          <w:tcPr>
            <w:tcW w:w="26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5"/>
                <w:szCs w:val="15"/>
                <w:color w:val="auto"/>
              </w:rPr>
              <w:t>LIBBEY GLASS INC. (6)</w:t>
            </w:r>
          </w:p>
        </w:tc>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Private Corporation</w:t>
            </w:r>
          </w:p>
        </w:tc>
        <w:tc>
          <w:tcPr>
            <w:tcW w:w="1080" w:type="dxa"/>
            <w:vAlign w:val="bottom"/>
            <w:tcBorders>
              <w:bottom w:val="single" w:sz="8" w:color="CCEEFF"/>
            </w:tcBorders>
          </w:tcPr>
          <w:p>
            <w:pPr>
              <w:jc w:val="center"/>
              <w:ind w:left="24"/>
              <w:spacing w:after="0"/>
              <w:rPr>
                <w:sz w:val="20"/>
                <w:szCs w:val="20"/>
                <w:color w:val="auto"/>
              </w:rPr>
            </w:pPr>
            <w:r>
              <w:rPr>
                <w:rFonts w:ascii="Times New Roman" w:cs="Times New Roman" w:eastAsia="Times New Roman" w:hAnsi="Times New Roman"/>
                <w:sz w:val="15"/>
                <w:szCs w:val="15"/>
                <w:color w:val="auto"/>
              </w:rPr>
              <w:t>07/31/25</w:t>
            </w:r>
          </w:p>
        </w:tc>
        <w:tc>
          <w:tcPr>
            <w:tcW w:w="2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198"/>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Private Corporations</w:t>
            </w:r>
          </w:p>
        </w:tc>
        <w:tc>
          <w:tcPr>
            <w:tcW w:w="3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44</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44</w:t>
            </w:r>
          </w:p>
        </w:tc>
        <w:tc>
          <w:tcPr>
            <w:tcW w:w="8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0.02 %</w:t>
            </w:r>
          </w:p>
        </w:tc>
      </w:tr>
      <w:tr>
        <w:trPr>
          <w:trHeight w:val="182"/>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Warrants</w:t>
            </w:r>
          </w:p>
        </w:tc>
        <w:tc>
          <w:tcPr>
            <w:tcW w:w="3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3"/>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United States (4)</w:t>
            </w:r>
          </w:p>
        </w:tc>
        <w:tc>
          <w:tcPr>
            <w:tcW w:w="3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2"/>
        </w:trPr>
        <w:tc>
          <w:tcPr>
            <w:tcW w:w="268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Services: Business</w:t>
            </w:r>
          </w:p>
        </w:tc>
        <w:tc>
          <w:tcPr>
            <w:tcW w:w="3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2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Careerbuilder, LLC (9)</w:t>
            </w: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Warrant</w:t>
            </w:r>
          </w:p>
        </w:tc>
        <w:tc>
          <w:tcPr>
            <w:tcW w:w="1080" w:type="dxa"/>
            <w:vAlign w:val="bottom"/>
            <w:shd w:val="clear" w:color="auto" w:fill="CCEEFF"/>
          </w:tcPr>
          <w:p>
            <w:pPr>
              <w:jc w:val="center"/>
              <w:ind w:left="24"/>
              <w:spacing w:after="0"/>
              <w:rPr>
                <w:sz w:val="20"/>
                <w:szCs w:val="20"/>
                <w:color w:val="auto"/>
              </w:rPr>
            </w:pPr>
            <w:r>
              <w:rPr>
                <w:rFonts w:ascii="Times New Roman" w:cs="Times New Roman" w:eastAsia="Times New Roman" w:hAnsi="Times New Roman"/>
                <w:sz w:val="15"/>
                <w:szCs w:val="15"/>
                <w:color w:val="auto"/>
              </w:rPr>
              <w:t>02/21/25</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02"/>
        </w:trPr>
        <w:tc>
          <w:tcPr>
            <w:tcW w:w="586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Retail / Consumer Goods: Non-Durable</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2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New Trojan Parent, Inc. (6)(9)</w:t>
            </w: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Warrant</w:t>
            </w:r>
          </w:p>
        </w:tc>
        <w:tc>
          <w:tcPr>
            <w:tcW w:w="1080" w:type="dxa"/>
            <w:vAlign w:val="bottom"/>
            <w:shd w:val="clear" w:color="auto" w:fill="CCEEFF"/>
          </w:tcPr>
          <w:p>
            <w:pPr>
              <w:jc w:val="center"/>
              <w:ind w:left="24"/>
              <w:spacing w:after="0"/>
              <w:rPr>
                <w:sz w:val="20"/>
                <w:szCs w:val="20"/>
                <w:color w:val="auto"/>
              </w:rPr>
            </w:pPr>
            <w:r>
              <w:rPr>
                <w:rFonts w:ascii="Times New Roman" w:cs="Times New Roman" w:eastAsia="Times New Roman" w:hAnsi="Times New Roman"/>
                <w:sz w:val="15"/>
                <w:szCs w:val="15"/>
                <w:color w:val="auto"/>
              </w:rPr>
              <w:t>09/19/24</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196"/>
        </w:trPr>
        <w:tc>
          <w:tcPr>
            <w:tcW w:w="2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 Warrants</w:t>
            </w:r>
          </w:p>
        </w:tc>
        <w:tc>
          <w:tcPr>
            <w:tcW w:w="318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 %</w:t>
            </w:r>
          </w:p>
        </w:tc>
      </w:tr>
      <w:tr>
        <w:trPr>
          <w:trHeight w:val="18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Other Investments</w:t>
            </w:r>
          </w:p>
        </w:tc>
        <w:tc>
          <w:tcPr>
            <w:tcW w:w="3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02"/>
        </w:trPr>
        <w:tc>
          <w:tcPr>
            <w:tcW w:w="268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United States (4)</w:t>
            </w:r>
          </w:p>
        </w:tc>
        <w:tc>
          <w:tcPr>
            <w:tcW w:w="3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2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Mortgage-related—Residential</w:t>
            </w:r>
          </w:p>
        </w:tc>
        <w:tc>
          <w:tcPr>
            <w:tcW w:w="3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48"/>
        </w:trPr>
        <w:tc>
          <w:tcPr>
            <w:tcW w:w="2680" w:type="dxa"/>
            <w:vAlign w:val="bottom"/>
          </w:tcPr>
          <w:p>
            <w:pPr>
              <w:ind w:left="340"/>
              <w:spacing w:after="0" w:line="149" w:lineRule="exact"/>
              <w:rPr>
                <w:sz w:val="20"/>
                <w:szCs w:val="20"/>
                <w:color w:val="auto"/>
              </w:rPr>
            </w:pPr>
            <w:r>
              <w:rPr>
                <w:rFonts w:ascii="Times New Roman" w:cs="Times New Roman" w:eastAsia="Times New Roman" w:hAnsi="Times New Roman"/>
                <w:sz w:val="15"/>
                <w:szCs w:val="15"/>
                <w:color w:val="auto"/>
              </w:rPr>
              <w:t>Government National Mortgage</w:t>
            </w:r>
          </w:p>
        </w:tc>
        <w:tc>
          <w:tcPr>
            <w:tcW w:w="318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Secured Note - Class JI, 6.56% (SOFR + 1.21%</w:t>
            </w: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12"/>
        </w:trPr>
        <w:tc>
          <w:tcPr>
            <w:tcW w:w="26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5"/>
                <w:szCs w:val="15"/>
                <w:color w:val="auto"/>
              </w:rPr>
              <w:t>Association (6)(10)</w:t>
            </w:r>
          </w:p>
        </w:tc>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due December 20, 2060)</w:t>
            </w:r>
          </w:p>
        </w:tc>
        <w:tc>
          <w:tcPr>
            <w:tcW w:w="1080" w:type="dxa"/>
            <w:vAlign w:val="bottom"/>
            <w:tcBorders>
              <w:bottom w:val="single" w:sz="8" w:color="CCEEFF"/>
            </w:tcBorders>
          </w:tcPr>
          <w:p>
            <w:pPr>
              <w:jc w:val="center"/>
              <w:ind w:left="24"/>
              <w:spacing w:after="0"/>
              <w:rPr>
                <w:sz w:val="20"/>
                <w:szCs w:val="20"/>
                <w:color w:val="auto"/>
              </w:rPr>
            </w:pPr>
            <w:r>
              <w:rPr>
                <w:rFonts w:ascii="Times New Roman" w:cs="Times New Roman" w:eastAsia="Times New Roman" w:hAnsi="Times New Roman"/>
                <w:sz w:val="15"/>
                <w:szCs w:val="15"/>
                <w:color w:val="auto"/>
              </w:rPr>
              <w:t>06/06/13</w:t>
            </w:r>
          </w:p>
        </w:tc>
        <w:tc>
          <w:tcPr>
            <w:tcW w:w="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25,119</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0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Other Investments</w:t>
            </w:r>
          </w:p>
        </w:tc>
        <w:tc>
          <w:tcPr>
            <w:tcW w:w="3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w:t>
            </w:r>
          </w:p>
        </w:tc>
        <w:tc>
          <w:tcPr>
            <w:tcW w:w="8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 %</w:t>
            </w:r>
          </w:p>
        </w:tc>
      </w:tr>
      <w:tr>
        <w:trPr>
          <w:trHeight w:val="196"/>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Investments</w:t>
            </w:r>
          </w:p>
        </w:tc>
        <w:tc>
          <w:tcPr>
            <w:tcW w:w="3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378,228</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380,272</w:t>
            </w:r>
          </w:p>
        </w:tc>
        <w:tc>
          <w:tcPr>
            <w:tcW w:w="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168.94 %</w:t>
            </w:r>
          </w:p>
        </w:tc>
      </w:tr>
      <w:tr>
        <w:trPr>
          <w:trHeight w:val="20"/>
        </w:trPr>
        <w:tc>
          <w:tcPr>
            <w:tcW w:w="268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268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02"/>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Equivalents</w:t>
            </w:r>
          </w:p>
        </w:tc>
        <w:tc>
          <w:tcPr>
            <w:tcW w:w="3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United States (4)</w:t>
            </w:r>
          </w:p>
        </w:tc>
        <w:tc>
          <w:tcPr>
            <w:tcW w:w="3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2"/>
        </w:trPr>
        <w:tc>
          <w:tcPr>
            <w:tcW w:w="268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Funds</w:t>
            </w:r>
          </w:p>
        </w:tc>
        <w:tc>
          <w:tcPr>
            <w:tcW w:w="3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49"/>
        </w:trPr>
        <w:tc>
          <w:tcPr>
            <w:tcW w:w="268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5"/>
                <w:szCs w:val="15"/>
                <w:color w:val="auto"/>
              </w:rPr>
              <w:t>Goldman Sachs Government</w:t>
            </w:r>
          </w:p>
        </w:tc>
        <w:tc>
          <w:tcPr>
            <w:tcW w:w="3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216"/>
        </w:trPr>
        <w:tc>
          <w:tcPr>
            <w:tcW w:w="2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Institutional Class, 4.04%</w:t>
            </w: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Money Market Fund</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15,544</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15,544</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15,544</w:t>
            </w: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6.91 %</w:t>
            </w:r>
          </w:p>
        </w:tc>
      </w:tr>
      <w:tr>
        <w:trPr>
          <w:trHeight w:val="196"/>
        </w:trPr>
        <w:tc>
          <w:tcPr>
            <w:tcW w:w="2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 Cash Equivalents</w:t>
            </w:r>
          </w:p>
        </w:tc>
        <w:tc>
          <w:tcPr>
            <w:tcW w:w="318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15,544</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15,544</w:t>
            </w: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6.91 %</w:t>
            </w:r>
          </w:p>
        </w:tc>
      </w:tr>
      <w:tr>
        <w:trPr>
          <w:trHeight w:val="221"/>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Investments and Cash Equivalents</w:t>
            </w:r>
          </w:p>
        </w:tc>
        <w:tc>
          <w:tcPr>
            <w:tcW w:w="3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393,772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395,816</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175.85 %</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40"/>
          </w:cols>
          <w:pgMar w:left="420" w:top="968" w:right="4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5"/>
          <w:szCs w:val="15"/>
          <w:b w:val="1"/>
          <w:bCs w:val="1"/>
          <w:color w:val="auto"/>
        </w:rPr>
        <w:t>ELLINGTON CREDIT COMPANY</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SCHEDULE OF INVESTMENTS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SEPTEMBER 30, 2025</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Credit Default Swaps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0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center"/>
              <w:ind w:right="60"/>
              <w:spacing w:after="0" w:line="150" w:lineRule="exact"/>
              <w:rPr>
                <w:sz w:val="20"/>
                <w:szCs w:val="20"/>
                <w:color w:val="auto"/>
              </w:rPr>
            </w:pPr>
            <w:r>
              <w:rPr>
                <w:rFonts w:ascii="Times New Roman" w:cs="Times New Roman" w:eastAsia="Times New Roman" w:hAnsi="Times New Roman"/>
                <w:sz w:val="15"/>
                <w:szCs w:val="15"/>
                <w:b w:val="1"/>
                <w:bCs w:val="1"/>
                <w:color w:val="auto"/>
              </w:rPr>
              <w:t>Transaction</w:t>
            </w:r>
          </w:p>
        </w:tc>
        <w:tc>
          <w:tcPr>
            <w:tcW w:w="960" w:type="dxa"/>
            <w:vAlign w:val="bottom"/>
            <w:tcBorders>
              <w:top w:val="single" w:sz="8" w:color="auto"/>
            </w:tcBorders>
            <w:gridSpan w:val="3"/>
          </w:tcPr>
          <w:p>
            <w:pPr>
              <w:jc w:val="center"/>
              <w:ind w:right="60"/>
              <w:spacing w:after="0" w:line="150" w:lineRule="exact"/>
              <w:rPr>
                <w:sz w:val="20"/>
                <w:szCs w:val="20"/>
                <w:color w:val="auto"/>
              </w:rPr>
            </w:pPr>
            <w:r>
              <w:rPr>
                <w:rFonts w:ascii="Times New Roman" w:cs="Times New Roman" w:eastAsia="Times New Roman" w:hAnsi="Times New Roman"/>
                <w:sz w:val="15"/>
                <w:szCs w:val="15"/>
                <w:b w:val="1"/>
                <w:bCs w:val="1"/>
                <w:color w:val="auto"/>
              </w:rPr>
              <w:t>Fixed Rate</w:t>
            </w:r>
          </w:p>
        </w:tc>
        <w:tc>
          <w:tcPr>
            <w:tcW w:w="920" w:type="dxa"/>
            <w:vAlign w:val="bottom"/>
            <w:tcBorders>
              <w:top w:val="single" w:sz="8" w:color="auto"/>
            </w:tcBorders>
            <w:gridSpan w:val="2"/>
          </w:tcPr>
          <w:p>
            <w:pPr>
              <w:jc w:val="center"/>
              <w:ind w:right="60"/>
              <w:spacing w:after="0" w:line="150" w:lineRule="exact"/>
              <w:rPr>
                <w:sz w:val="20"/>
                <w:szCs w:val="20"/>
                <w:color w:val="auto"/>
              </w:rPr>
            </w:pPr>
            <w:r>
              <w:rPr>
                <w:rFonts w:ascii="Times New Roman" w:cs="Times New Roman" w:eastAsia="Times New Roman" w:hAnsi="Times New Roman"/>
                <w:sz w:val="15"/>
                <w:szCs w:val="15"/>
                <w:b w:val="1"/>
                <w:bCs w:val="1"/>
                <w:color w:val="auto"/>
              </w:rPr>
              <w:t>Payment</w:t>
            </w:r>
          </w:p>
        </w:tc>
        <w:tc>
          <w:tcPr>
            <w:tcW w:w="1020" w:type="dxa"/>
            <w:vAlign w:val="bottom"/>
            <w:tcBorders>
              <w:top w:val="single" w:sz="8" w:color="auto"/>
            </w:tcBorders>
            <w:gridSpan w:val="2"/>
          </w:tcPr>
          <w:p>
            <w:pPr>
              <w:jc w:val="center"/>
              <w:ind w:right="80"/>
              <w:spacing w:after="0" w:line="150" w:lineRule="exact"/>
              <w:rPr>
                <w:sz w:val="20"/>
                <w:szCs w:val="20"/>
                <w:color w:val="auto"/>
              </w:rPr>
            </w:pPr>
            <w:r>
              <w:rPr>
                <w:rFonts w:ascii="Times New Roman" w:cs="Times New Roman" w:eastAsia="Times New Roman" w:hAnsi="Times New Roman"/>
                <w:sz w:val="15"/>
                <w:szCs w:val="15"/>
                <w:b w:val="1"/>
                <w:bCs w:val="1"/>
                <w:color w:val="auto"/>
              </w:rPr>
              <w:t>Termination</w:t>
            </w: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center"/>
              <w:ind w:right="200"/>
              <w:spacing w:after="0" w:line="150" w:lineRule="exact"/>
              <w:rPr>
                <w:sz w:val="20"/>
                <w:szCs w:val="20"/>
                <w:color w:val="auto"/>
              </w:rPr>
            </w:pPr>
            <w:r>
              <w:rPr>
                <w:rFonts w:ascii="Times New Roman" w:cs="Times New Roman" w:eastAsia="Times New Roman" w:hAnsi="Times New Roman"/>
                <w:sz w:val="15"/>
                <w:szCs w:val="15"/>
                <w:b w:val="1"/>
                <w:bCs w:val="1"/>
                <w:color w:val="auto"/>
              </w:rPr>
              <w:t>Notional</w:t>
            </w: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jc w:val="center"/>
              <w:ind w:right="180"/>
              <w:spacing w:after="0" w:line="150" w:lineRule="exact"/>
              <w:rPr>
                <w:sz w:val="20"/>
                <w:szCs w:val="20"/>
                <w:color w:val="auto"/>
              </w:rPr>
            </w:pPr>
            <w:r>
              <w:rPr>
                <w:rFonts w:ascii="Times New Roman" w:cs="Times New Roman" w:eastAsia="Times New Roman" w:hAnsi="Times New Roman"/>
                <w:sz w:val="15"/>
                <w:szCs w:val="15"/>
                <w:b w:val="1"/>
                <w:bCs w:val="1"/>
                <w:color w:val="auto"/>
              </w:rPr>
              <w:t>Payments</w:t>
            </w:r>
          </w:p>
        </w:tc>
        <w:tc>
          <w:tcPr>
            <w:tcW w:w="1420" w:type="dxa"/>
            <w:vAlign w:val="bottom"/>
            <w:tcBorders>
              <w:top w:val="single" w:sz="8" w:color="auto"/>
            </w:tcBorders>
          </w:tcPr>
          <w:p>
            <w:pPr>
              <w:jc w:val="center"/>
              <w:ind w:left="385"/>
              <w:spacing w:after="0" w:line="150" w:lineRule="exact"/>
              <w:rPr>
                <w:sz w:val="20"/>
                <w:szCs w:val="20"/>
                <w:color w:val="auto"/>
              </w:rPr>
            </w:pPr>
            <w:r>
              <w:rPr>
                <w:rFonts w:ascii="Times New Roman" w:cs="Times New Roman" w:eastAsia="Times New Roman" w:hAnsi="Times New Roman"/>
                <w:sz w:val="15"/>
                <w:szCs w:val="15"/>
                <w:b w:val="1"/>
                <w:bCs w:val="1"/>
                <w:color w:val="auto"/>
              </w:rPr>
              <w:t>Unrealized</w:t>
            </w:r>
          </w:p>
        </w:tc>
        <w:tc>
          <w:tcPr>
            <w:tcW w:w="4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Counterparty</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Reference Index</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8"/>
              </w:rPr>
              <w:t>Type</w:t>
            </w:r>
          </w:p>
        </w:tc>
        <w:tc>
          <w:tcPr>
            <w:tcW w:w="120" w:type="dxa"/>
            <w:vAlign w:val="bottom"/>
          </w:tcPr>
          <w:p>
            <w:pPr>
              <w:spacing w:after="0"/>
              <w:rPr>
                <w:sz w:val="18"/>
                <w:szCs w:val="18"/>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Frequency</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12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8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Upfront</w:t>
            </w:r>
          </w:p>
        </w:tc>
        <w:tc>
          <w:tcPr>
            <w:tcW w:w="196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Appreciation/(Depreciation)</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0" w:type="dxa"/>
            <w:vAlign w:val="bottom"/>
          </w:tcPr>
          <w:p>
            <w:pPr>
              <w:spacing w:after="0"/>
              <w:rPr>
                <w:sz w:val="1"/>
                <w:szCs w:val="1"/>
                <w:color w:val="auto"/>
              </w:rPr>
            </w:pPr>
          </w:p>
        </w:tc>
      </w:tr>
      <w:tr>
        <w:trPr>
          <w:trHeight w:val="194"/>
        </w:trPr>
        <w:tc>
          <w:tcPr>
            <w:tcW w:w="1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80" w:type="dxa"/>
            <w:vAlign w:val="bottom"/>
            <w:gridSpan w:val="2"/>
            <w:shd w:val="clear" w:color="auto" w:fill="CCEEFF"/>
          </w:tcPr>
          <w:p>
            <w:pPr>
              <w:ind w:left="20"/>
              <w:spacing w:after="0" w:line="155" w:lineRule="exact"/>
              <w:rPr>
                <w:sz w:val="20"/>
                <w:szCs w:val="20"/>
                <w:color w:val="auto"/>
              </w:rPr>
            </w:pPr>
            <w:r>
              <w:rPr>
                <w:rFonts w:ascii="Times New Roman" w:cs="Times New Roman" w:eastAsia="Times New Roman" w:hAnsi="Times New Roman"/>
                <w:sz w:val="15"/>
                <w:szCs w:val="15"/>
                <w:color w:val="auto"/>
              </w:rPr>
              <w:t>J.P. Morgan</w:t>
            </w:r>
          </w:p>
        </w:tc>
        <w:tc>
          <w:tcPr>
            <w:tcW w:w="1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Purchased</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5"/>
                <w:szCs w:val="15"/>
                <w:color w:val="auto"/>
              </w:rPr>
              <w:t>Chase Bank,</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N.A.</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CDX.NA.HY.S44</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protection</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5.00 %</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5"/>
                <w:szCs w:val="15"/>
                <w:color w:val="auto"/>
              </w:rPr>
              <w:t>Quarterly</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12/20/30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8,430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(644)</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(660)</w:t>
            </w:r>
          </w:p>
        </w:tc>
        <w:tc>
          <w:tcPr>
            <w:tcW w:w="0" w:type="dxa"/>
            <w:vAlign w:val="bottom"/>
          </w:tcPr>
          <w:p>
            <w:pPr>
              <w:spacing w:after="0"/>
              <w:rPr>
                <w:sz w:val="1"/>
                <w:szCs w:val="1"/>
                <w:color w:val="auto"/>
              </w:rPr>
            </w:pPr>
          </w:p>
        </w:tc>
      </w:tr>
      <w:tr>
        <w:trPr>
          <w:trHeight w:val="148"/>
        </w:trPr>
        <w:tc>
          <w:tcPr>
            <w:tcW w:w="10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5"/>
                <w:szCs w:val="15"/>
                <w:color w:val="auto"/>
              </w:rPr>
              <w:t>J.P. Morgan</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Purchased</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5"/>
                <w:szCs w:val="15"/>
                <w:color w:val="auto"/>
              </w:rPr>
              <w:t>Chase Bank,</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N.A.</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ITRX.EUR.XOVER.S36</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protection</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5.00 %</w:t>
            </w:r>
          </w:p>
        </w:tc>
        <w:tc>
          <w:tcPr>
            <w:tcW w:w="80" w:type="dxa"/>
            <w:vAlign w:val="bottom"/>
          </w:tcPr>
          <w:p>
            <w:pPr>
              <w:spacing w:after="0"/>
              <w:rPr>
                <w:sz w:val="18"/>
                <w:szCs w:val="18"/>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Quarterly</w:t>
            </w: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12/20/26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46,952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(3,049)</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(2,843)</w:t>
            </w:r>
          </w:p>
        </w:tc>
        <w:tc>
          <w:tcPr>
            <w:tcW w:w="0" w:type="dxa"/>
            <w:vAlign w:val="bottom"/>
          </w:tcPr>
          <w:p>
            <w:pPr>
              <w:spacing w:after="0"/>
              <w:rPr>
                <w:sz w:val="1"/>
                <w:szCs w:val="1"/>
                <w:color w:val="auto"/>
              </w:rPr>
            </w:pPr>
          </w:p>
        </w:tc>
      </w:tr>
      <w:tr>
        <w:trPr>
          <w:trHeight w:val="153"/>
        </w:trPr>
        <w:tc>
          <w:tcPr>
            <w:tcW w:w="1080" w:type="dxa"/>
            <w:vAlign w:val="bottom"/>
            <w:gridSpan w:val="2"/>
            <w:shd w:val="clear" w:color="auto" w:fill="CCEEFF"/>
          </w:tcPr>
          <w:p>
            <w:pPr>
              <w:ind w:left="20"/>
              <w:spacing w:after="0" w:line="153" w:lineRule="exact"/>
              <w:rPr>
                <w:sz w:val="20"/>
                <w:szCs w:val="20"/>
                <w:color w:val="auto"/>
              </w:rPr>
            </w:pPr>
            <w:r>
              <w:rPr>
                <w:rFonts w:ascii="Times New Roman" w:cs="Times New Roman" w:eastAsia="Times New Roman" w:hAnsi="Times New Roman"/>
                <w:sz w:val="15"/>
                <w:szCs w:val="15"/>
                <w:color w:val="auto"/>
              </w:rPr>
              <w:t>J.P. Morgan</w:t>
            </w:r>
          </w:p>
        </w:tc>
        <w:tc>
          <w:tcPr>
            <w:tcW w:w="1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Purchased</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5"/>
                <w:szCs w:val="15"/>
                <w:color w:val="auto"/>
              </w:rPr>
              <w:t>Chase Bank,</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N.A.</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ITRX.EUR.XOVER.S38</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protection</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5.00 %</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5"/>
                <w:szCs w:val="15"/>
                <w:color w:val="auto"/>
              </w:rPr>
              <w:t>Quarterly</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12/20/27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11,738</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(933)</w:t>
            </w:r>
          </w:p>
        </w:tc>
        <w:tc>
          <w:tcPr>
            <w:tcW w:w="8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(1,093)</w:t>
            </w:r>
          </w:p>
        </w:tc>
        <w:tc>
          <w:tcPr>
            <w:tcW w:w="0" w:type="dxa"/>
            <w:vAlign w:val="bottom"/>
          </w:tcPr>
          <w:p>
            <w:pPr>
              <w:spacing w:after="0"/>
              <w:rPr>
                <w:sz w:val="1"/>
                <w:szCs w:val="1"/>
                <w:color w:val="auto"/>
              </w:rPr>
            </w:pPr>
          </w:p>
        </w:tc>
      </w:tr>
      <w:tr>
        <w:trPr>
          <w:trHeight w:val="200"/>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Total Credit Default Swaps</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(4,626)</w:t>
            </w:r>
          </w:p>
        </w:tc>
        <w:tc>
          <w:tcPr>
            <w:tcW w:w="80" w:type="dxa"/>
            <w:vAlign w:val="bottom"/>
          </w:tcPr>
          <w:p>
            <w:pPr>
              <w:spacing w:after="0"/>
              <w:rPr>
                <w:sz w:val="17"/>
                <w:szCs w:val="17"/>
                <w:color w:val="auto"/>
              </w:rPr>
            </w:pPr>
          </w:p>
        </w:tc>
        <w:tc>
          <w:tcPr>
            <w:tcW w:w="1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30</w:t>
            </w:r>
          </w:p>
        </w:tc>
        <w:tc>
          <w:tcPr>
            <w:tcW w:w="80" w:type="dxa"/>
            <w:vAlign w:val="bottom"/>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(4,596)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gridSpan w:val="4"/>
            <w:vMerge w:val="restart"/>
          </w:tcPr>
          <w:p>
            <w:pPr>
              <w:ind w:left="360"/>
              <w:spacing w:after="0"/>
              <w:rPr>
                <w:sz w:val="20"/>
                <w:szCs w:val="20"/>
                <w:color w:val="auto"/>
              </w:rPr>
            </w:pPr>
            <w:r>
              <w:rPr>
                <w:rFonts w:ascii="Times New Roman" w:cs="Times New Roman" w:eastAsia="Times New Roman" w:hAnsi="Times New Roman"/>
                <w:sz w:val="15"/>
                <w:szCs w:val="15"/>
                <w:b w:val="1"/>
                <w:bCs w:val="1"/>
                <w:color w:val="auto"/>
              </w:rPr>
              <w:t>Futures Contracts</w:t>
            </w: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9"/>
        </w:trPr>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4"/>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5"/>
                <w:szCs w:val="15"/>
                <w:b w:val="1"/>
                <w:bCs w:val="1"/>
                <w:color w:val="auto"/>
              </w:rPr>
              <w:t>Transaction</w:t>
            </w:r>
          </w:p>
        </w:tc>
        <w:tc>
          <w:tcPr>
            <w:tcW w:w="960" w:type="dxa"/>
            <w:vAlign w:val="bottom"/>
            <w:gridSpan w:val="3"/>
          </w:tcPr>
          <w:p>
            <w:pPr>
              <w:jc w:val="center"/>
              <w:ind w:right="60"/>
              <w:spacing w:after="0" w:line="146"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92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5"/>
                <w:szCs w:val="15"/>
                <w:b w:val="1"/>
                <w:bCs w:val="1"/>
                <w:color w:val="auto"/>
              </w:rPr>
              <w:t>Payment</w:t>
            </w:r>
          </w:p>
        </w:tc>
        <w:tc>
          <w:tcPr>
            <w:tcW w:w="102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5"/>
                <w:szCs w:val="15"/>
                <w:b w:val="1"/>
                <w:bCs w:val="1"/>
                <w:color w:val="auto"/>
              </w:rPr>
              <w:t>Termination</w:t>
            </w:r>
          </w:p>
        </w:tc>
        <w:tc>
          <w:tcPr>
            <w:tcW w:w="120" w:type="dxa"/>
            <w:vAlign w:val="bottom"/>
          </w:tcPr>
          <w:p>
            <w:pPr>
              <w:spacing w:after="0"/>
              <w:rPr>
                <w:sz w:val="12"/>
                <w:szCs w:val="12"/>
                <w:color w:val="auto"/>
              </w:rPr>
            </w:pPr>
          </w:p>
        </w:tc>
        <w:tc>
          <w:tcPr>
            <w:tcW w:w="8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5"/>
                <w:szCs w:val="15"/>
                <w:b w:val="1"/>
                <w:bCs w:val="1"/>
                <w:color w:val="auto"/>
              </w:rPr>
              <w:t>Notional</w:t>
            </w: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5"/>
                <w:szCs w:val="15"/>
                <w:b w:val="1"/>
                <w:bCs w:val="1"/>
                <w:color w:val="auto"/>
              </w:rPr>
              <w:t>Payments</w:t>
            </w:r>
          </w:p>
        </w:tc>
        <w:tc>
          <w:tcPr>
            <w:tcW w:w="1420" w:type="dxa"/>
            <w:vAlign w:val="bottom"/>
          </w:tcPr>
          <w:p>
            <w:pPr>
              <w:jc w:val="center"/>
              <w:ind w:left="385"/>
              <w:spacing w:after="0" w:line="146" w:lineRule="exact"/>
              <w:rPr>
                <w:sz w:val="20"/>
                <w:szCs w:val="20"/>
                <w:color w:val="auto"/>
              </w:rPr>
            </w:pPr>
            <w:r>
              <w:rPr>
                <w:rFonts w:ascii="Times New Roman" w:cs="Times New Roman" w:eastAsia="Times New Roman" w:hAnsi="Times New Roman"/>
                <w:sz w:val="15"/>
                <w:szCs w:val="15"/>
                <w:b w:val="1"/>
                <w:bCs w:val="1"/>
                <w:color w:val="auto"/>
              </w:rPr>
              <w:t>Unrealized</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Counterparty</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Underlying</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8"/>
              </w:rPr>
              <w:t>Type</w:t>
            </w:r>
          </w:p>
        </w:tc>
        <w:tc>
          <w:tcPr>
            <w:tcW w:w="12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Contracts</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Frequency</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12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8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Upfront</w:t>
            </w:r>
          </w:p>
        </w:tc>
        <w:tc>
          <w:tcPr>
            <w:tcW w:w="196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Appreciation/(Depreciation)</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0" w:type="dxa"/>
            <w:vAlign w:val="bottom"/>
          </w:tcPr>
          <w:p>
            <w:pPr>
              <w:spacing w:after="0"/>
              <w:rPr>
                <w:sz w:val="1"/>
                <w:szCs w:val="1"/>
                <w:color w:val="auto"/>
              </w:rPr>
            </w:pPr>
          </w:p>
        </w:tc>
      </w:tr>
      <w:tr>
        <w:trPr>
          <w:trHeight w:val="194"/>
        </w:trPr>
        <w:tc>
          <w:tcPr>
            <w:tcW w:w="1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80" w:type="dxa"/>
            <w:vAlign w:val="bottom"/>
            <w:gridSpan w:val="2"/>
            <w:shd w:val="clear" w:color="auto" w:fill="CCEEFF"/>
          </w:tcPr>
          <w:p>
            <w:pPr>
              <w:ind w:left="20"/>
              <w:spacing w:after="0" w:line="155" w:lineRule="exact"/>
              <w:rPr>
                <w:sz w:val="20"/>
                <w:szCs w:val="20"/>
                <w:color w:val="auto"/>
              </w:rPr>
            </w:pPr>
            <w:r>
              <w:rPr>
                <w:rFonts w:ascii="Times New Roman" w:cs="Times New Roman" w:eastAsia="Times New Roman" w:hAnsi="Times New Roman"/>
                <w:sz w:val="15"/>
                <w:szCs w:val="15"/>
                <w:color w:val="auto"/>
              </w:rPr>
              <w:t>Wells Fargo</w:t>
            </w:r>
          </w:p>
        </w:tc>
        <w:tc>
          <w:tcPr>
            <w:tcW w:w="1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Contract to</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Payment on</w:t>
            </w: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5"/>
                <w:szCs w:val="15"/>
                <w:color w:val="auto"/>
              </w:rPr>
              <w:t>Securities,</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vMerge w:val="continue"/>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LLC</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Euro</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sell</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right="24"/>
              <w:spacing w:after="0"/>
              <w:rPr>
                <w:sz w:val="20"/>
                <w:szCs w:val="20"/>
                <w:color w:val="auto"/>
              </w:rPr>
            </w:pPr>
            <w:r>
              <w:rPr>
                <w:rFonts w:ascii="Times New Roman" w:cs="Times New Roman" w:eastAsia="Times New Roman" w:hAnsi="Times New Roman"/>
                <w:sz w:val="15"/>
                <w:szCs w:val="15"/>
                <w:color w:val="auto"/>
                <w:w w:val="97"/>
              </w:rPr>
              <w:t>131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settlement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12/15/25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16,375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Total Currency Futures Contracts</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1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gridSpan w:val="4"/>
            <w:vMerge w:val="restart"/>
          </w:tcPr>
          <w:p>
            <w:pPr>
              <w:ind w:left="120"/>
              <w:spacing w:after="0"/>
              <w:rPr>
                <w:sz w:val="20"/>
                <w:szCs w:val="20"/>
                <w:color w:val="auto"/>
              </w:rPr>
            </w:pPr>
            <w:r>
              <w:rPr>
                <w:rFonts w:ascii="Times New Roman" w:cs="Times New Roman" w:eastAsia="Times New Roman" w:hAnsi="Times New Roman"/>
                <w:sz w:val="15"/>
                <w:szCs w:val="15"/>
                <w:b w:val="1"/>
                <w:bCs w:val="1"/>
                <w:color w:val="auto"/>
              </w:rPr>
              <w:t>Exchange Traded Options</w:t>
            </w: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9"/>
        </w:trPr>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4"/>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5"/>
                <w:szCs w:val="15"/>
                <w:b w:val="1"/>
                <w:bCs w:val="1"/>
                <w:color w:val="auto"/>
              </w:rPr>
              <w:t>Transaction</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5"/>
                <w:szCs w:val="15"/>
                <w:b w:val="1"/>
                <w:bCs w:val="1"/>
                <w:color w:val="auto"/>
              </w:rPr>
              <w:t>Payment</w:t>
            </w:r>
          </w:p>
        </w:tc>
        <w:tc>
          <w:tcPr>
            <w:tcW w:w="102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5"/>
                <w:szCs w:val="15"/>
                <w:b w:val="1"/>
                <w:bCs w:val="1"/>
                <w:color w:val="auto"/>
              </w:rPr>
              <w:t>Termination</w:t>
            </w:r>
          </w:p>
        </w:tc>
        <w:tc>
          <w:tcPr>
            <w:tcW w:w="120" w:type="dxa"/>
            <w:vAlign w:val="bottom"/>
          </w:tcPr>
          <w:p>
            <w:pPr>
              <w:spacing w:after="0"/>
              <w:rPr>
                <w:sz w:val="12"/>
                <w:szCs w:val="12"/>
                <w:color w:val="auto"/>
              </w:rPr>
            </w:pPr>
          </w:p>
        </w:tc>
        <w:tc>
          <w:tcPr>
            <w:tcW w:w="8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5"/>
                <w:szCs w:val="15"/>
                <w:b w:val="1"/>
                <w:bCs w:val="1"/>
                <w:color w:val="auto"/>
              </w:rPr>
              <w:t>Notional</w:t>
            </w: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5"/>
                <w:szCs w:val="15"/>
                <w:b w:val="1"/>
                <w:bCs w:val="1"/>
                <w:color w:val="auto"/>
              </w:rPr>
              <w:t>Payments</w:t>
            </w:r>
          </w:p>
        </w:tc>
        <w:tc>
          <w:tcPr>
            <w:tcW w:w="1420" w:type="dxa"/>
            <w:vAlign w:val="bottom"/>
          </w:tcPr>
          <w:p>
            <w:pPr>
              <w:jc w:val="center"/>
              <w:ind w:left="385"/>
              <w:spacing w:after="0" w:line="146" w:lineRule="exact"/>
              <w:rPr>
                <w:sz w:val="20"/>
                <w:szCs w:val="20"/>
                <w:color w:val="auto"/>
              </w:rPr>
            </w:pPr>
            <w:r>
              <w:rPr>
                <w:rFonts w:ascii="Times New Roman" w:cs="Times New Roman" w:eastAsia="Times New Roman" w:hAnsi="Times New Roman"/>
                <w:sz w:val="15"/>
                <w:szCs w:val="15"/>
                <w:b w:val="1"/>
                <w:bCs w:val="1"/>
                <w:color w:val="auto"/>
              </w:rPr>
              <w:t>Unrealized</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40" w:type="dxa"/>
            <w:vAlign w:val="bottom"/>
            <w:gridSpan w:val="4"/>
          </w:tcPr>
          <w:p>
            <w:pPr>
              <w:ind w:left="800"/>
              <w:spacing w:after="0"/>
              <w:rPr>
                <w:sz w:val="20"/>
                <w:szCs w:val="20"/>
                <w:color w:val="auto"/>
              </w:rPr>
            </w:pPr>
            <w:r>
              <w:rPr>
                <w:rFonts w:ascii="Times New Roman" w:cs="Times New Roman" w:eastAsia="Times New Roman" w:hAnsi="Times New Roman"/>
                <w:sz w:val="15"/>
                <w:szCs w:val="15"/>
                <w:b w:val="1"/>
                <w:bCs w:val="1"/>
                <w:color w:val="auto"/>
              </w:rPr>
              <w:t>Reference Index</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8"/>
              </w:rPr>
              <w:t>Type</w:t>
            </w:r>
          </w:p>
        </w:tc>
        <w:tc>
          <w:tcPr>
            <w:tcW w:w="96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Strike Price</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Frequency</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960" w:type="dxa"/>
            <w:vAlign w:val="bottom"/>
            <w:gridSpan w:val="3"/>
          </w:tcPr>
          <w:p>
            <w:pPr>
              <w:jc w:val="center"/>
              <w:ind w:right="100"/>
              <w:spacing w:after="0" w:line="216" w:lineRule="exact"/>
              <w:rPr>
                <w:sz w:val="20"/>
                <w:szCs w:val="20"/>
                <w:color w:val="auto"/>
              </w:rPr>
            </w:pPr>
            <w:r>
              <w:rPr>
                <w:rFonts w:ascii="Times New Roman" w:cs="Times New Roman" w:eastAsia="Times New Roman" w:hAnsi="Times New Roman"/>
                <w:sz w:val="15"/>
                <w:szCs w:val="15"/>
                <w:b w:val="1"/>
                <w:bCs w:val="1"/>
                <w:color w:val="auto"/>
                <w:w w:val="95"/>
              </w:rPr>
              <w:t>Amount</w:t>
            </w:r>
            <w:r>
              <w:rPr>
                <w:rFonts w:ascii="Times New Roman" w:cs="Times New Roman" w:eastAsia="Times New Roman" w:hAnsi="Times New Roman"/>
                <w:sz w:val="19"/>
                <w:szCs w:val="19"/>
                <w:b w:val="1"/>
                <w:bCs w:val="1"/>
                <w:color w:val="auto"/>
                <w:w w:val="95"/>
                <w:vertAlign w:val="superscript"/>
              </w:rPr>
              <w:t>(12)</w:t>
            </w:r>
          </w:p>
        </w:tc>
        <w:tc>
          <w:tcPr>
            <w:tcW w:w="8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Upfront</w:t>
            </w:r>
          </w:p>
        </w:tc>
        <w:tc>
          <w:tcPr>
            <w:tcW w:w="196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Appreciation/(Depreciation)</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0" w:type="dxa"/>
            <w:vAlign w:val="bottom"/>
          </w:tcPr>
          <w:p>
            <w:pPr>
              <w:spacing w:after="0"/>
              <w:rPr>
                <w:sz w:val="1"/>
                <w:szCs w:val="1"/>
                <w:color w:val="auto"/>
              </w:rPr>
            </w:pPr>
          </w:p>
        </w:tc>
      </w:tr>
      <w:tr>
        <w:trPr>
          <w:trHeight w:val="176"/>
        </w:trPr>
        <w:tc>
          <w:tcPr>
            <w:tcW w:w="10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80" w:type="dxa"/>
            <w:vAlign w:val="bottom"/>
          </w:tcPr>
          <w:p>
            <w:pPr>
              <w:spacing w:after="0"/>
              <w:rPr>
                <w:sz w:val="15"/>
                <w:szCs w:val="15"/>
                <w:color w:val="auto"/>
              </w:rPr>
            </w:pPr>
          </w:p>
        </w:tc>
        <w:tc>
          <w:tcPr>
            <w:tcW w:w="8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80" w:type="dxa"/>
            <w:vAlign w:val="bottom"/>
          </w:tcPr>
          <w:p>
            <w:pPr>
              <w:spacing w:after="0"/>
              <w:rPr>
                <w:sz w:val="15"/>
                <w:szCs w:val="15"/>
                <w:color w:val="auto"/>
              </w:rPr>
            </w:pPr>
          </w:p>
        </w:tc>
        <w:tc>
          <w:tcPr>
            <w:tcW w:w="1420" w:type="dxa"/>
            <w:vAlign w:val="bottom"/>
            <w:tcBorders>
              <w:top w:val="single" w:sz="8" w:color="auto"/>
            </w:tcBorders>
          </w:tcPr>
          <w:p>
            <w:pPr>
              <w:jc w:val="center"/>
              <w:ind w:left="365"/>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4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0" w:type="dxa"/>
            <w:vAlign w:val="bottom"/>
          </w:tcPr>
          <w:p>
            <w:pPr>
              <w:spacing w:after="0"/>
              <w:rPr>
                <w:sz w:val="1"/>
                <w:szCs w:val="1"/>
                <w:color w:val="auto"/>
              </w:rPr>
            </w:pPr>
          </w:p>
        </w:tc>
      </w:tr>
      <w:tr>
        <w:trPr>
          <w:trHeight w:val="155"/>
        </w:trPr>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20"/>
              <w:spacing w:after="0" w:line="155" w:lineRule="exact"/>
              <w:rPr>
                <w:sz w:val="20"/>
                <w:szCs w:val="20"/>
                <w:color w:val="auto"/>
              </w:rPr>
            </w:pPr>
            <w:r>
              <w:rPr>
                <w:rFonts w:ascii="Times New Roman" w:cs="Times New Roman" w:eastAsia="Times New Roman" w:hAnsi="Times New Roman"/>
                <w:sz w:val="15"/>
                <w:szCs w:val="15"/>
                <w:color w:val="auto"/>
              </w:rPr>
              <w:t>Payment on</w:t>
            </w: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7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Russell 2000 Index</w:t>
            </w:r>
          </w:p>
        </w:tc>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w w:val="99"/>
              </w:rPr>
              <w:t>Put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right="24"/>
              <w:spacing w:after="0"/>
              <w:rPr>
                <w:sz w:val="20"/>
                <w:szCs w:val="20"/>
                <w:color w:val="auto"/>
              </w:rPr>
            </w:pPr>
            <w:r>
              <w:rPr>
                <w:rFonts w:ascii="Times New Roman" w:cs="Times New Roman" w:eastAsia="Times New Roman" w:hAnsi="Times New Roman"/>
                <w:sz w:val="15"/>
                <w:szCs w:val="15"/>
                <w:color w:val="auto"/>
                <w:w w:val="99"/>
              </w:rPr>
              <w:t>$185</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settlement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12/19/25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18,500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5"/>
                <w:szCs w:val="15"/>
                <w:color w:val="auto"/>
              </w:rPr>
              <w:t>Payment on</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Russell 2000 Index</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9"/>
              </w:rPr>
              <w:t>Put</w:t>
            </w:r>
          </w:p>
        </w:tc>
        <w:tc>
          <w:tcPr>
            <w:tcW w:w="120" w:type="dxa"/>
            <w:vAlign w:val="bottom"/>
          </w:tcPr>
          <w:p>
            <w:pPr>
              <w:spacing w:after="0"/>
              <w:rPr>
                <w:sz w:val="18"/>
                <w:szCs w:val="18"/>
                <w:color w:val="auto"/>
              </w:rPr>
            </w:pPr>
          </w:p>
        </w:tc>
        <w:tc>
          <w:tcPr>
            <w:tcW w:w="76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w w:val="99"/>
              </w:rPr>
              <w:t>$174</w:t>
            </w:r>
          </w:p>
        </w:tc>
        <w:tc>
          <w:tcPr>
            <w:tcW w:w="8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settlement</w:t>
            </w: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01/16/26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12,180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0" w:type="dxa"/>
            <w:vAlign w:val="bottom"/>
          </w:tcPr>
          <w:p>
            <w:pPr>
              <w:spacing w:after="0"/>
              <w:rPr>
                <w:sz w:val="1"/>
                <w:szCs w:val="1"/>
                <w:color w:val="auto"/>
              </w:rPr>
            </w:pPr>
          </w:p>
        </w:tc>
      </w:tr>
      <w:tr>
        <w:trPr>
          <w:trHeight w:val="153"/>
        </w:trPr>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20"/>
              <w:spacing w:after="0" w:line="153" w:lineRule="exact"/>
              <w:rPr>
                <w:sz w:val="20"/>
                <w:szCs w:val="20"/>
                <w:color w:val="auto"/>
              </w:rPr>
            </w:pPr>
            <w:r>
              <w:rPr>
                <w:rFonts w:ascii="Times New Roman" w:cs="Times New Roman" w:eastAsia="Times New Roman" w:hAnsi="Times New Roman"/>
                <w:sz w:val="15"/>
                <w:szCs w:val="15"/>
                <w:color w:val="auto"/>
              </w:rPr>
              <w:t>Payment on</w:t>
            </w: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S&amp;P 500 Index</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w w:val="99"/>
              </w:rPr>
              <w:t>Put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right="24"/>
              <w:spacing w:after="0"/>
              <w:rPr>
                <w:sz w:val="20"/>
                <w:szCs w:val="20"/>
                <w:color w:val="auto"/>
              </w:rPr>
            </w:pPr>
            <w:r>
              <w:rPr>
                <w:rFonts w:ascii="Times New Roman" w:cs="Times New Roman" w:eastAsia="Times New Roman" w:hAnsi="Times New Roman"/>
                <w:sz w:val="15"/>
                <w:szCs w:val="15"/>
                <w:color w:val="auto"/>
              </w:rPr>
              <w:t>$5,000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settlement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11/21/25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97,500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616</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5"/>
                <w:szCs w:val="15"/>
                <w:color w:val="auto"/>
              </w:rPr>
              <w:t>Payment on</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S&amp;P 500 Index</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9"/>
              </w:rPr>
              <w:t>Put</w:t>
            </w:r>
          </w:p>
        </w:tc>
        <w:tc>
          <w:tcPr>
            <w:tcW w:w="120" w:type="dxa"/>
            <w:vAlign w:val="bottom"/>
          </w:tcPr>
          <w:p>
            <w:pPr>
              <w:spacing w:after="0"/>
              <w:rPr>
                <w:sz w:val="18"/>
                <w:szCs w:val="18"/>
                <w:color w:val="auto"/>
              </w:rPr>
            </w:pPr>
          </w:p>
        </w:tc>
        <w:tc>
          <w:tcPr>
            <w:tcW w:w="76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rPr>
              <w:t>$5,075</w:t>
            </w:r>
          </w:p>
        </w:tc>
        <w:tc>
          <w:tcPr>
            <w:tcW w:w="8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settlement</w:t>
            </w: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11/21/25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17,763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153"/>
        </w:trPr>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20"/>
              <w:spacing w:after="0" w:line="153" w:lineRule="exact"/>
              <w:rPr>
                <w:sz w:val="20"/>
                <w:szCs w:val="20"/>
                <w:color w:val="auto"/>
              </w:rPr>
            </w:pPr>
            <w:r>
              <w:rPr>
                <w:rFonts w:ascii="Times New Roman" w:cs="Times New Roman" w:eastAsia="Times New Roman" w:hAnsi="Times New Roman"/>
                <w:sz w:val="15"/>
                <w:szCs w:val="15"/>
                <w:color w:val="auto"/>
              </w:rPr>
              <w:t>Payment on</w:t>
            </w: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S&amp;P 500 Index</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w w:val="99"/>
              </w:rPr>
              <w:t>Put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right="24"/>
              <w:spacing w:after="0"/>
              <w:rPr>
                <w:sz w:val="20"/>
                <w:szCs w:val="20"/>
                <w:color w:val="auto"/>
              </w:rPr>
            </w:pPr>
            <w:r>
              <w:rPr>
                <w:rFonts w:ascii="Times New Roman" w:cs="Times New Roman" w:eastAsia="Times New Roman" w:hAnsi="Times New Roman"/>
                <w:sz w:val="15"/>
                <w:szCs w:val="15"/>
                <w:color w:val="auto"/>
              </w:rPr>
              <w:t>$5,150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settlement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01/16/26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43,775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5"/>
                <w:szCs w:val="15"/>
                <w:color w:val="auto"/>
              </w:rPr>
              <w:t>Payment on</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S&amp;P 500 Index</w:t>
            </w:r>
          </w:p>
        </w:tc>
        <w:tc>
          <w:tcPr>
            <w:tcW w:w="15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9"/>
              </w:rPr>
              <w:t>Put</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center"/>
              <w:ind w:right="24"/>
              <w:spacing w:after="0"/>
              <w:rPr>
                <w:sz w:val="20"/>
                <w:szCs w:val="20"/>
                <w:color w:val="auto"/>
              </w:rPr>
            </w:pPr>
            <w:r>
              <w:rPr>
                <w:rFonts w:ascii="Times New Roman" w:cs="Times New Roman" w:eastAsia="Times New Roman" w:hAnsi="Times New Roman"/>
                <w:sz w:val="15"/>
                <w:szCs w:val="15"/>
                <w:color w:val="auto"/>
              </w:rPr>
              <w:t>$5,000</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settlement</w:t>
            </w:r>
          </w:p>
        </w:tc>
        <w:tc>
          <w:tcPr>
            <w:tcW w:w="9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rPr>
              <w:t>02/20/26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ind w:right="4"/>
              <w:spacing w:after="0"/>
              <w:rPr>
                <w:sz w:val="20"/>
                <w:szCs w:val="20"/>
                <w:color w:val="auto"/>
              </w:rPr>
            </w:pPr>
            <w:r>
              <w:rPr>
                <w:rFonts w:ascii="Times New Roman" w:cs="Times New Roman" w:eastAsia="Times New Roman" w:hAnsi="Times New Roman"/>
                <w:sz w:val="15"/>
                <w:szCs w:val="15"/>
                <w:color w:val="auto"/>
              </w:rPr>
              <w:t>110,000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731</w:t>
            </w:r>
          </w:p>
        </w:tc>
        <w:tc>
          <w:tcPr>
            <w:tcW w:w="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601</w:t>
            </w:r>
          </w:p>
        </w:tc>
        <w:tc>
          <w:tcPr>
            <w:tcW w:w="0" w:type="dxa"/>
            <w:vAlign w:val="bottom"/>
          </w:tcPr>
          <w:p>
            <w:pPr>
              <w:spacing w:after="0"/>
              <w:rPr>
                <w:sz w:val="1"/>
                <w:szCs w:val="1"/>
                <w:color w:val="auto"/>
              </w:rPr>
            </w:pPr>
          </w:p>
        </w:tc>
      </w:tr>
      <w:tr>
        <w:trPr>
          <w:trHeight w:val="225"/>
        </w:trPr>
        <w:tc>
          <w:tcPr>
            <w:tcW w:w="27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Exchange Traded Options</w:t>
            </w: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1,866</w:t>
            </w:r>
          </w:p>
        </w:tc>
        <w:tc>
          <w:tcPr>
            <w:tcW w:w="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(854)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1,013</w:t>
            </w: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CCEEFF"/>
            </w:tcBorders>
            <w:gridSpan w:val="4"/>
            <w:vMerge w:val="restart"/>
          </w:tcPr>
          <w:p>
            <w:pPr>
              <w:ind w:left="100"/>
              <w:spacing w:after="0"/>
              <w:rPr>
                <w:sz w:val="20"/>
                <w:szCs w:val="20"/>
                <w:color w:val="auto"/>
              </w:rPr>
            </w:pPr>
            <w:r>
              <w:rPr>
                <w:rFonts w:ascii="Times New Roman" w:cs="Times New Roman" w:eastAsia="Times New Roman" w:hAnsi="Times New Roman"/>
                <w:sz w:val="15"/>
                <w:szCs w:val="15"/>
                <w:b w:val="1"/>
                <w:bCs w:val="1"/>
                <w:color w:val="auto"/>
              </w:rPr>
              <w:t>Over the Counter Options</w:t>
            </w: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5"/>
                <w:szCs w:val="15"/>
                <w:b w:val="1"/>
                <w:bCs w:val="1"/>
                <w:color w:val="auto"/>
              </w:rPr>
              <w:t>Transaction</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5"/>
                <w:szCs w:val="15"/>
                <w:b w:val="1"/>
                <w:bCs w:val="1"/>
                <w:color w:val="auto"/>
              </w:rPr>
              <w:t>Payment</w:t>
            </w:r>
          </w:p>
        </w:tc>
        <w:tc>
          <w:tcPr>
            <w:tcW w:w="102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5"/>
                <w:szCs w:val="15"/>
                <w:b w:val="1"/>
                <w:bCs w:val="1"/>
                <w:color w:val="auto"/>
              </w:rPr>
              <w:t>Termination</w:t>
            </w:r>
          </w:p>
        </w:tc>
        <w:tc>
          <w:tcPr>
            <w:tcW w:w="120" w:type="dxa"/>
            <w:vAlign w:val="bottom"/>
          </w:tcPr>
          <w:p>
            <w:pPr>
              <w:spacing w:after="0"/>
              <w:rPr>
                <w:sz w:val="12"/>
                <w:szCs w:val="12"/>
                <w:color w:val="auto"/>
              </w:rPr>
            </w:pPr>
          </w:p>
        </w:tc>
        <w:tc>
          <w:tcPr>
            <w:tcW w:w="8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5"/>
                <w:szCs w:val="15"/>
                <w:b w:val="1"/>
                <w:bCs w:val="1"/>
                <w:color w:val="auto"/>
              </w:rPr>
              <w:t>Notional</w:t>
            </w: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5"/>
                <w:szCs w:val="15"/>
                <w:b w:val="1"/>
                <w:bCs w:val="1"/>
                <w:color w:val="auto"/>
              </w:rPr>
              <w:t>Payments</w:t>
            </w:r>
          </w:p>
        </w:tc>
        <w:tc>
          <w:tcPr>
            <w:tcW w:w="1420" w:type="dxa"/>
            <w:vAlign w:val="bottom"/>
          </w:tcPr>
          <w:p>
            <w:pPr>
              <w:jc w:val="center"/>
              <w:ind w:left="385"/>
              <w:spacing w:after="0" w:line="146" w:lineRule="exact"/>
              <w:rPr>
                <w:sz w:val="20"/>
                <w:szCs w:val="20"/>
                <w:color w:val="auto"/>
              </w:rPr>
            </w:pPr>
            <w:r>
              <w:rPr>
                <w:rFonts w:ascii="Times New Roman" w:cs="Times New Roman" w:eastAsia="Times New Roman" w:hAnsi="Times New Roman"/>
                <w:sz w:val="15"/>
                <w:szCs w:val="15"/>
                <w:b w:val="1"/>
                <w:bCs w:val="1"/>
                <w:color w:val="auto"/>
              </w:rPr>
              <w:t>Unrealized</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Counterparty</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Reference Index</w:t>
            </w:r>
          </w:p>
        </w:tc>
        <w:tc>
          <w:tcPr>
            <w:tcW w:w="960" w:type="dxa"/>
            <w:vAlign w:val="bottom"/>
            <w:gridSpan w:val="2"/>
          </w:tcPr>
          <w:p>
            <w:pPr>
              <w:jc w:val="center"/>
              <w:ind w:right="80"/>
              <w:spacing w:after="0" w:line="216" w:lineRule="exact"/>
              <w:rPr>
                <w:sz w:val="20"/>
                <w:szCs w:val="20"/>
                <w:color w:val="auto"/>
              </w:rPr>
            </w:pPr>
            <w:r>
              <w:rPr>
                <w:rFonts w:ascii="Times New Roman" w:cs="Times New Roman" w:eastAsia="Times New Roman" w:hAnsi="Times New Roman"/>
                <w:sz w:val="15"/>
                <w:szCs w:val="15"/>
                <w:b w:val="1"/>
                <w:bCs w:val="1"/>
                <w:color w:val="auto"/>
                <w:w w:val="89"/>
              </w:rPr>
              <w:t>Type</w:t>
            </w:r>
            <w:r>
              <w:rPr>
                <w:rFonts w:ascii="Times New Roman" w:cs="Times New Roman" w:eastAsia="Times New Roman" w:hAnsi="Times New Roman"/>
                <w:sz w:val="19"/>
                <w:szCs w:val="19"/>
                <w:b w:val="1"/>
                <w:bCs w:val="1"/>
                <w:color w:val="auto"/>
                <w:w w:val="89"/>
                <w:vertAlign w:val="superscript"/>
              </w:rPr>
              <w:t>(11)</w:t>
            </w:r>
          </w:p>
        </w:tc>
        <w:tc>
          <w:tcPr>
            <w:tcW w:w="96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Strike Price</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Frequency</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960" w:type="dxa"/>
            <w:vAlign w:val="bottom"/>
            <w:gridSpan w:val="3"/>
          </w:tcPr>
          <w:p>
            <w:pPr>
              <w:jc w:val="center"/>
              <w:ind w:right="100"/>
              <w:spacing w:after="0" w:line="216" w:lineRule="exact"/>
              <w:rPr>
                <w:sz w:val="20"/>
                <w:szCs w:val="20"/>
                <w:color w:val="auto"/>
              </w:rPr>
            </w:pPr>
            <w:r>
              <w:rPr>
                <w:rFonts w:ascii="Times New Roman" w:cs="Times New Roman" w:eastAsia="Times New Roman" w:hAnsi="Times New Roman"/>
                <w:sz w:val="15"/>
                <w:szCs w:val="15"/>
                <w:b w:val="1"/>
                <w:bCs w:val="1"/>
                <w:color w:val="auto"/>
                <w:w w:val="95"/>
              </w:rPr>
              <w:t>Amount</w:t>
            </w:r>
            <w:r>
              <w:rPr>
                <w:rFonts w:ascii="Times New Roman" w:cs="Times New Roman" w:eastAsia="Times New Roman" w:hAnsi="Times New Roman"/>
                <w:sz w:val="19"/>
                <w:szCs w:val="19"/>
                <w:b w:val="1"/>
                <w:bCs w:val="1"/>
                <w:color w:val="auto"/>
                <w:w w:val="95"/>
                <w:vertAlign w:val="superscript"/>
              </w:rPr>
              <w:t>(12)</w:t>
            </w:r>
          </w:p>
        </w:tc>
        <w:tc>
          <w:tcPr>
            <w:tcW w:w="8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Upfront</w:t>
            </w:r>
          </w:p>
        </w:tc>
        <w:tc>
          <w:tcPr>
            <w:tcW w:w="196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Appreciation/(Depreciation)</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0" w:type="dxa"/>
            <w:vAlign w:val="bottom"/>
          </w:tcPr>
          <w:p>
            <w:pPr>
              <w:spacing w:after="0"/>
              <w:rPr>
                <w:sz w:val="1"/>
                <w:szCs w:val="1"/>
                <w:color w:val="auto"/>
              </w:rPr>
            </w:pPr>
          </w:p>
        </w:tc>
      </w:tr>
      <w:tr>
        <w:trPr>
          <w:trHeight w:val="176"/>
        </w:trPr>
        <w:tc>
          <w:tcPr>
            <w:tcW w:w="10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80" w:type="dxa"/>
            <w:vAlign w:val="bottom"/>
          </w:tcPr>
          <w:p>
            <w:pPr>
              <w:spacing w:after="0"/>
              <w:rPr>
                <w:sz w:val="15"/>
                <w:szCs w:val="15"/>
                <w:color w:val="auto"/>
              </w:rPr>
            </w:pPr>
          </w:p>
        </w:tc>
        <w:tc>
          <w:tcPr>
            <w:tcW w:w="8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80" w:type="dxa"/>
            <w:vAlign w:val="bottom"/>
          </w:tcPr>
          <w:p>
            <w:pPr>
              <w:spacing w:after="0"/>
              <w:rPr>
                <w:sz w:val="15"/>
                <w:szCs w:val="15"/>
                <w:color w:val="auto"/>
              </w:rPr>
            </w:pPr>
          </w:p>
        </w:tc>
        <w:tc>
          <w:tcPr>
            <w:tcW w:w="1420" w:type="dxa"/>
            <w:vAlign w:val="bottom"/>
            <w:tcBorders>
              <w:top w:val="single" w:sz="8" w:color="auto"/>
            </w:tcBorders>
          </w:tcPr>
          <w:p>
            <w:pPr>
              <w:jc w:val="center"/>
              <w:ind w:left="365"/>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4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0" w:type="dxa"/>
            <w:vAlign w:val="bottom"/>
          </w:tcPr>
          <w:p>
            <w:pPr>
              <w:spacing w:after="0"/>
              <w:rPr>
                <w:sz w:val="1"/>
                <w:szCs w:val="1"/>
                <w:color w:val="auto"/>
              </w:rPr>
            </w:pPr>
          </w:p>
        </w:tc>
      </w:tr>
      <w:tr>
        <w:trPr>
          <w:trHeight w:val="155"/>
        </w:trPr>
        <w:tc>
          <w:tcPr>
            <w:tcW w:w="1080" w:type="dxa"/>
            <w:vAlign w:val="bottom"/>
            <w:gridSpan w:val="2"/>
            <w:shd w:val="clear" w:color="auto" w:fill="CCEEFF"/>
          </w:tcPr>
          <w:p>
            <w:pPr>
              <w:ind w:left="20"/>
              <w:spacing w:after="0" w:line="155" w:lineRule="exact"/>
              <w:rPr>
                <w:sz w:val="20"/>
                <w:szCs w:val="20"/>
                <w:color w:val="auto"/>
              </w:rPr>
            </w:pPr>
            <w:r>
              <w:rPr>
                <w:rFonts w:ascii="Times New Roman" w:cs="Times New Roman" w:eastAsia="Times New Roman" w:hAnsi="Times New Roman"/>
                <w:sz w:val="15"/>
                <w:szCs w:val="15"/>
                <w:color w:val="auto"/>
              </w:rPr>
              <w:t>J.P. Morgan</w:t>
            </w:r>
          </w:p>
        </w:tc>
        <w:tc>
          <w:tcPr>
            <w:tcW w:w="1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Payment on</w:t>
            </w: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5"/>
                <w:szCs w:val="15"/>
                <w:color w:val="auto"/>
              </w:rPr>
              <w:t>Chase Bank,</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vMerge w:val="continue"/>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N.A.</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CDX.NA.IG.S44</w:t>
            </w:r>
          </w:p>
        </w:tc>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w w:val="99"/>
              </w:rPr>
              <w:t>Put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85</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settlement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12/17/25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150,000</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8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0" w:type="dxa"/>
            <w:vAlign w:val="bottom"/>
          </w:tcPr>
          <w:p>
            <w:pPr>
              <w:spacing w:after="0"/>
              <w:rPr>
                <w:sz w:val="1"/>
                <w:szCs w:val="1"/>
                <w:color w:val="auto"/>
              </w:rPr>
            </w:pPr>
          </w:p>
        </w:tc>
      </w:tr>
      <w:tr>
        <w:trPr>
          <w:trHeight w:val="200"/>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Total Over the Counter Options</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143</w:t>
            </w:r>
          </w:p>
        </w:tc>
        <w:tc>
          <w:tcPr>
            <w:tcW w:w="80" w:type="dxa"/>
            <w:vAlign w:val="bottom"/>
          </w:tcPr>
          <w:p>
            <w:pPr>
              <w:spacing w:after="0"/>
              <w:rPr>
                <w:sz w:val="17"/>
                <w:szCs w:val="17"/>
                <w:color w:val="auto"/>
              </w:rPr>
            </w:pPr>
          </w:p>
        </w:tc>
        <w:tc>
          <w:tcPr>
            <w:tcW w:w="1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(109)</w:t>
            </w:r>
          </w:p>
        </w:tc>
        <w:tc>
          <w:tcPr>
            <w:tcW w:w="80" w:type="dxa"/>
            <w:vAlign w:val="bottom"/>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left="500" w:right="200" w:hanging="330"/>
        <w:spacing w:after="0" w:line="261" w:lineRule="auto"/>
        <w:tabs>
          <w:tab w:leader="none" w:pos="49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Fund does not “control” and is not an “affiliate” of any of its portfolio companies, each as defined in the 1940 Act. In general, under the 1940 Act, the Fund would be presumed to “control” a portfolio company if it owned more than 25% of the voting securities and would be an “affiliate” of a portfolio company if Fund owned 5% or more of its voting securities.</w:t>
      </w:r>
    </w:p>
    <w:p>
      <w:pPr>
        <w:ind w:left="480" w:hanging="310"/>
        <w:spacing w:after="0"/>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date represents date the investment was initially acquired by the Fund and may be earlier than the date at which the Fund converted to a RIC.</w:t>
      </w:r>
    </w:p>
    <w:p>
      <w:pPr>
        <w:spacing w:after="0" w:line="14" w:lineRule="exact"/>
        <w:rPr>
          <w:rFonts w:ascii="Times New Roman" w:cs="Times New Roman" w:eastAsia="Times New Roman" w:hAnsi="Times New Roman"/>
          <w:sz w:val="14"/>
          <w:szCs w:val="14"/>
          <w:color w:val="auto"/>
        </w:rPr>
      </w:pPr>
    </w:p>
    <w:p>
      <w:pPr>
        <w:ind w:left="500" w:right="200" w:hanging="330"/>
        <w:spacing w:after="0" w:line="176" w:lineRule="exact"/>
        <w:tabs>
          <w:tab w:leader="none" w:pos="49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is determined by the Adviser in accordance with written valuation policies and procedures, subject to oversight by the Fund’s Board, in accordance with Rule 2a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5 under the 1940 Act; see Note 2 of the Notes to Consolidated Financial Statements.</w:t>
      </w:r>
    </w:p>
    <w:p>
      <w:pPr>
        <w:ind w:left="480" w:hanging="310"/>
        <w:spacing w:after="0"/>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principal country or region of risk where the investment has exposure.</w:t>
      </w:r>
    </w:p>
    <w:p>
      <w:pPr>
        <w:spacing w:after="0" w:line="14"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144(a)</w:t>
      </w:r>
      <w:r>
        <w:rPr>
          <w:rFonts w:ascii="Arial" w:cs="Arial" w:eastAsia="Arial" w:hAnsi="Arial"/>
          <w:sz w:val="14"/>
          <w:szCs w:val="14"/>
          <w:color w:val="auto"/>
        </w:rPr>
        <w:t>—</w:t>
      </w:r>
      <w:r>
        <w:rPr>
          <w:rFonts w:ascii="Times New Roman" w:cs="Times New Roman" w:eastAsia="Times New Roman" w:hAnsi="Times New Roman"/>
          <w:sz w:val="14"/>
          <w:szCs w:val="14"/>
          <w:color w:val="auto"/>
        </w:rPr>
        <w:t>Security was purchased pursuant to Rule 144a under the Securities Act of 1933 and may not be resold subject to that rule, except to qualified institutional buyers.</w:t>
      </w:r>
    </w:p>
    <w:p>
      <w:pPr>
        <w:spacing w:after="0" w:line="15"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is categorized as Level 3 per the Fund's fair value hierarchy.</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969" w:right="339" w:bottom="1440" w:gutter="0" w:footer="0" w:header="0"/>
        </w:sectPr>
      </w:pPr>
    </w:p>
    <w:bookmarkStart w:id="21" w:name="page22"/>
    <w:bookmarkEnd w:id="21"/>
    <w:p>
      <w:pPr>
        <w:ind w:left="310" w:hanging="310"/>
        <w:spacing w:after="0"/>
        <w:tabs>
          <w:tab w:leader="none" w:pos="31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or a portion of the security is pledged as collateral for Reverse Repurchase Agreements.</w:t>
      </w:r>
    </w:p>
    <w:p>
      <w:pPr>
        <w:spacing w:after="0" w:line="27" w:lineRule="exact"/>
        <w:rPr>
          <w:rFonts w:ascii="Times New Roman" w:cs="Times New Roman" w:eastAsia="Times New Roman" w:hAnsi="Times New Roman"/>
          <w:sz w:val="14"/>
          <w:szCs w:val="14"/>
          <w:color w:val="auto"/>
        </w:rPr>
      </w:pPr>
    </w:p>
    <w:p>
      <w:pPr>
        <w:ind w:left="310" w:hanging="310"/>
        <w:spacing w:after="0"/>
        <w:tabs>
          <w:tab w:leader="none" w:pos="31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and Amortized Cost includes fee rebates related to the Fund's interest in CLO Subordinated notes.</w:t>
      </w:r>
    </w:p>
    <w:p>
      <w:pPr>
        <w:spacing w:after="0" w:line="14" w:lineRule="exact"/>
        <w:rPr>
          <w:rFonts w:ascii="Times New Roman" w:cs="Times New Roman" w:eastAsia="Times New Roman" w:hAnsi="Times New Roman"/>
          <w:sz w:val="14"/>
          <w:szCs w:val="14"/>
          <w:color w:val="auto"/>
        </w:rPr>
      </w:pPr>
    </w:p>
    <w:p>
      <w:pPr>
        <w:ind w:left="310" w:hanging="310"/>
        <w:spacing w:after="0"/>
        <w:tabs>
          <w:tab w:leader="none" w:pos="31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2025, this investment is non-income producing.</w:t>
      </w:r>
    </w:p>
    <w:p>
      <w:pPr>
        <w:spacing w:after="0" w:line="4" w:lineRule="exact"/>
        <w:rPr>
          <w:rFonts w:ascii="Times New Roman" w:cs="Times New Roman" w:eastAsia="Times New Roman" w:hAnsi="Times New Roman"/>
          <w:sz w:val="14"/>
          <w:szCs w:val="14"/>
          <w:color w:val="auto"/>
        </w:rPr>
      </w:pPr>
    </w:p>
    <w:p>
      <w:pPr>
        <w:ind w:left="330" w:hanging="330"/>
        <w:spacing w:after="0"/>
        <w:tabs>
          <w:tab w:leader="none" w:pos="33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Principal amount represents the interest-only notional amount.</w:t>
      </w:r>
    </w:p>
    <w:p>
      <w:pPr>
        <w:spacing w:after="0" w:line="11" w:lineRule="exact"/>
        <w:rPr>
          <w:rFonts w:ascii="Times New Roman" w:cs="Times New Roman" w:eastAsia="Times New Roman" w:hAnsi="Times New Roman"/>
          <w:sz w:val="14"/>
          <w:szCs w:val="14"/>
          <w:color w:val="auto"/>
        </w:rPr>
      </w:pPr>
    </w:p>
    <w:p>
      <w:pPr>
        <w:ind w:left="330" w:hanging="330"/>
        <w:spacing w:after="0" w:line="261" w:lineRule="auto"/>
        <w:tabs>
          <w:tab w:leader="none" w:pos="321"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option on the part of the Fund to enter into a credit default swap on a corporate bond index whereby the Fund would pay a fixed rate and receive credit protection payments.</w:t>
      </w:r>
    </w:p>
    <w:p>
      <w:pPr>
        <w:ind w:left="330" w:hanging="330"/>
        <w:spacing w:after="0"/>
        <w:tabs>
          <w:tab w:leader="none" w:pos="33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Notional value represents the number of underlying index units multiplied by the reference price on the underlying index and the contract size.</w:t>
      </w:r>
    </w:p>
    <w:p>
      <w:pPr>
        <w:spacing w:after="0" w:line="14" w:lineRule="exact"/>
        <w:rPr>
          <w:rFonts w:ascii="Times New Roman" w:cs="Times New Roman" w:eastAsia="Times New Roman" w:hAnsi="Times New Roman"/>
          <w:sz w:val="14"/>
          <w:szCs w:val="14"/>
          <w:color w:val="auto"/>
        </w:rPr>
      </w:pPr>
    </w:p>
    <w:p>
      <w:pPr>
        <w:ind w:left="330" w:hanging="330"/>
        <w:spacing w:after="0"/>
        <w:tabs>
          <w:tab w:leader="none" w:pos="33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is co-invested with certain of the Fund’s affiliates, see Note 8 for additional details.</w:t>
      </w:r>
    </w:p>
    <w:p>
      <w:pPr>
        <w:spacing w:after="0" w:line="371" w:lineRule="exact"/>
        <w:rPr>
          <w:sz w:val="20"/>
          <w:szCs w:val="20"/>
          <w:color w:val="auto"/>
        </w:rPr>
      </w:pPr>
    </w:p>
    <w:p>
      <w:pPr>
        <w:jc w:val="center"/>
        <w:ind w:right="-42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ind w:right="-42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490"/>
          </w:cols>
          <w:pgMar w:left="490" w:top="927" w:right="9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9000" w:type="dxa"/>
            <w:vAlign w:val="bottom"/>
          </w:tcPr>
          <w:p>
            <w:pPr>
              <w:jc w:val="center"/>
              <w:ind w:left="2151"/>
              <w:spacing w:after="0"/>
              <w:rPr>
                <w:sz w:val="20"/>
                <w:szCs w:val="20"/>
                <w:color w:val="auto"/>
              </w:rPr>
            </w:pPr>
            <w:r>
              <w:rPr>
                <w:rFonts w:ascii="Times New Roman" w:cs="Times New Roman" w:eastAsia="Times New Roman" w:hAnsi="Times New Roman"/>
                <w:sz w:val="18"/>
                <w:szCs w:val="18"/>
                <w:b w:val="1"/>
                <w:bCs w:val="1"/>
                <w:color w:val="auto"/>
                <w:w w:val="99"/>
              </w:rPr>
              <w:t>ELLINGTON CREDIT COMPANY</w:t>
            </w: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0" w:type="dxa"/>
            <w:vAlign w:val="bottom"/>
          </w:tcPr>
          <w:p>
            <w:pPr>
              <w:jc w:val="center"/>
              <w:ind w:left="2151"/>
              <w:spacing w:after="0"/>
              <w:rPr>
                <w:sz w:val="20"/>
                <w:szCs w:val="20"/>
                <w:color w:val="auto"/>
              </w:rPr>
            </w:pPr>
            <w:r>
              <w:rPr>
                <w:rFonts w:ascii="Times New Roman" w:cs="Times New Roman" w:eastAsia="Times New Roman" w:hAnsi="Times New Roman"/>
                <w:sz w:val="18"/>
                <w:szCs w:val="18"/>
                <w:b w:val="1"/>
                <w:bCs w:val="1"/>
                <w:color w:val="auto"/>
                <w:w w:val="98"/>
              </w:rPr>
              <w:t>CONSOLIDATED STATEMENT OF OPERATIONS</w:t>
            </w: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9000" w:type="dxa"/>
            <w:vAlign w:val="bottom"/>
          </w:tcPr>
          <w:p>
            <w:pPr>
              <w:jc w:val="center"/>
              <w:ind w:left="2151"/>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9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Six-Month</w:t>
            </w:r>
          </w:p>
        </w:tc>
        <w:tc>
          <w:tcPr>
            <w:tcW w:w="0" w:type="dxa"/>
            <w:vAlign w:val="bottom"/>
          </w:tcPr>
          <w:p>
            <w:pPr>
              <w:spacing w:after="0"/>
              <w:rPr>
                <w:sz w:val="1"/>
                <w:szCs w:val="1"/>
                <w:color w:val="auto"/>
              </w:rPr>
            </w:pPr>
          </w:p>
        </w:tc>
      </w:tr>
      <w:tr>
        <w:trPr>
          <w:trHeight w:val="180"/>
        </w:trPr>
        <w:tc>
          <w:tcPr>
            <w:tcW w:w="9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Pr>
          <w:p>
            <w:pPr>
              <w:jc w:val="center"/>
              <w:ind w:right="131"/>
              <w:spacing w:after="0" w:line="180" w:lineRule="exact"/>
              <w:rPr>
                <w:sz w:val="20"/>
                <w:szCs w:val="20"/>
                <w:color w:val="auto"/>
              </w:rPr>
            </w:pPr>
            <w:r>
              <w:rPr>
                <w:rFonts w:ascii="Times New Roman" w:cs="Times New Roman" w:eastAsia="Times New Roman" w:hAnsi="Times New Roman"/>
                <w:sz w:val="18"/>
                <w:szCs w:val="18"/>
                <w:b w:val="1"/>
                <w:bCs w:val="1"/>
                <w:color w:val="auto"/>
                <w:w w:val="98"/>
              </w:rPr>
              <w:t>Period Ended</w:t>
            </w:r>
          </w:p>
        </w:tc>
        <w:tc>
          <w:tcPr>
            <w:tcW w:w="0" w:type="dxa"/>
            <w:vAlign w:val="bottom"/>
          </w:tcPr>
          <w:p>
            <w:pPr>
              <w:spacing w:after="0"/>
              <w:rPr>
                <w:sz w:val="1"/>
                <w:szCs w:val="1"/>
                <w:color w:val="auto"/>
              </w:rPr>
            </w:pPr>
          </w:p>
        </w:tc>
      </w:tr>
      <w:tr>
        <w:trPr>
          <w:trHeight w:val="238"/>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0" w:type="dxa"/>
            <w:vAlign w:val="bottom"/>
          </w:tcPr>
          <w:p>
            <w:pPr>
              <w:spacing w:after="0"/>
              <w:rPr>
                <w:sz w:val="1"/>
                <w:szCs w:val="1"/>
                <w:color w:val="auto"/>
              </w:rPr>
            </w:pPr>
          </w:p>
        </w:tc>
      </w:tr>
      <w:tr>
        <w:trPr>
          <w:trHeight w:val="20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4"/>
                <w:szCs w:val="14"/>
                <w:i w:val="1"/>
                <w:iCs w:val="1"/>
                <w:color w:val="auto"/>
              </w:rPr>
              <w:t>(Expressed in U.S. Dollars)</w:t>
            </w:r>
          </w:p>
        </w:tc>
        <w:tc>
          <w:tcPr>
            <w:tcW w:w="0" w:type="dxa"/>
            <w:vAlign w:val="bottom"/>
          </w:tcPr>
          <w:p>
            <w:pPr>
              <w:spacing w:after="0"/>
              <w:rPr>
                <w:sz w:val="1"/>
                <w:szCs w:val="1"/>
                <w:color w:val="auto"/>
              </w:rPr>
            </w:pPr>
          </w:p>
        </w:tc>
      </w:tr>
      <w:tr>
        <w:trPr>
          <w:trHeight w:val="229"/>
        </w:trPr>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25,433</w:t>
            </w:r>
          </w:p>
        </w:tc>
        <w:tc>
          <w:tcPr>
            <w:tcW w:w="0" w:type="dxa"/>
            <w:vAlign w:val="bottom"/>
          </w:tcPr>
          <w:p>
            <w:pPr>
              <w:spacing w:after="0"/>
              <w:rPr>
                <w:sz w:val="1"/>
                <w:szCs w:val="1"/>
                <w:color w:val="auto"/>
              </w:rPr>
            </w:pPr>
          </w:p>
        </w:tc>
      </w:tr>
      <w:tr>
        <w:trPr>
          <w:trHeight w:val="230"/>
        </w:trPr>
        <w:tc>
          <w:tcPr>
            <w:tcW w:w="9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23"/>
        </w:trPr>
        <w:tc>
          <w:tcPr>
            <w:tcW w:w="9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25,821</w:t>
            </w:r>
          </w:p>
        </w:tc>
        <w:tc>
          <w:tcPr>
            <w:tcW w:w="0" w:type="dxa"/>
            <w:vAlign w:val="bottom"/>
          </w:tcPr>
          <w:p>
            <w:pPr>
              <w:spacing w:after="0"/>
              <w:rPr>
                <w:sz w:val="1"/>
                <w:szCs w:val="1"/>
                <w:color w:val="auto"/>
              </w:rPr>
            </w:pPr>
          </w:p>
        </w:tc>
      </w:tr>
      <w:tr>
        <w:trPr>
          <w:trHeight w:val="21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0" w:type="dxa"/>
            <w:vAlign w:val="bottom"/>
          </w:tcPr>
          <w:p>
            <w:pPr>
              <w:spacing w:after="0"/>
              <w:rPr>
                <w:sz w:val="1"/>
                <w:szCs w:val="1"/>
                <w:color w:val="auto"/>
              </w:rPr>
            </w:pPr>
          </w:p>
        </w:tc>
      </w:tr>
      <w:tr>
        <w:trPr>
          <w:trHeight w:val="229"/>
        </w:trPr>
        <w:tc>
          <w:tcPr>
            <w:tcW w:w="9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Performance fees</w:t>
            </w: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0" w:type="dxa"/>
            <w:vAlign w:val="bottom"/>
          </w:tcPr>
          <w:p>
            <w:pPr>
              <w:spacing w:after="0"/>
              <w:rPr>
                <w:sz w:val="1"/>
                <w:szCs w:val="1"/>
                <w:color w:val="auto"/>
              </w:rPr>
            </w:pPr>
          </w:p>
        </w:tc>
      </w:tr>
      <w:tr>
        <w:trPr>
          <w:trHeight w:val="230"/>
        </w:trPr>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Management fees</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0" w:type="dxa"/>
            <w:vAlign w:val="bottom"/>
          </w:tcPr>
          <w:p>
            <w:pPr>
              <w:spacing w:after="0"/>
              <w:rPr>
                <w:sz w:val="1"/>
                <w:szCs w:val="1"/>
                <w:color w:val="auto"/>
              </w:rPr>
            </w:pPr>
          </w:p>
        </w:tc>
      </w:tr>
      <w:tr>
        <w:trPr>
          <w:trHeight w:val="229"/>
        </w:trPr>
        <w:tc>
          <w:tcPr>
            <w:tcW w:w="9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Compensation expense</w:t>
            </w: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230"/>
        </w:trPr>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Professional fees</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29"/>
        </w:trPr>
        <w:tc>
          <w:tcPr>
            <w:tcW w:w="90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Other operating expenses</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23"/>
        </w:trPr>
        <w:tc>
          <w:tcPr>
            <w:tcW w:w="9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10,815</w:t>
            </w:r>
          </w:p>
        </w:tc>
        <w:tc>
          <w:tcPr>
            <w:tcW w:w="0" w:type="dxa"/>
            <w:vAlign w:val="bottom"/>
          </w:tcPr>
          <w:p>
            <w:pPr>
              <w:spacing w:after="0"/>
              <w:rPr>
                <w:sz w:val="1"/>
                <w:szCs w:val="1"/>
                <w:color w:val="auto"/>
              </w:rPr>
            </w:pP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income</w:t>
            </w:r>
          </w:p>
        </w:tc>
        <w:tc>
          <w:tcPr>
            <w:tcW w:w="2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15,006</w:t>
            </w:r>
          </w:p>
        </w:tc>
        <w:tc>
          <w:tcPr>
            <w:tcW w:w="0" w:type="dxa"/>
            <w:vAlign w:val="bottom"/>
          </w:tcPr>
          <w:p>
            <w:pPr>
              <w:spacing w:after="0"/>
              <w:rPr>
                <w:sz w:val="1"/>
                <w:szCs w:val="1"/>
                <w:color w:val="auto"/>
              </w:rPr>
            </w:pPr>
          </w:p>
        </w:tc>
      </w:tr>
      <w:tr>
        <w:trPr>
          <w:trHeight w:val="20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REALIZED AND CHANGE IN UNREALIZED APPRECIATION (DEPRECIATION)</w:t>
            </w: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realized appreciation (depreciation) on investments</w:t>
            </w: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0" w:type="dxa"/>
            <w:vAlign w:val="bottom"/>
          </w:tcPr>
          <w:p>
            <w:pPr>
              <w:spacing w:after="0"/>
              <w:rPr>
                <w:sz w:val="1"/>
                <w:szCs w:val="1"/>
                <w:color w:val="auto"/>
              </w:rPr>
            </w:pPr>
          </w:p>
        </w:tc>
      </w:tr>
      <w:tr>
        <w:trPr>
          <w:trHeight w:val="229"/>
        </w:trPr>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realized appreciation (depreciation) on financial derivatives</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0" w:type="dxa"/>
            <w:vAlign w:val="bottom"/>
          </w:tcPr>
          <w:p>
            <w:pPr>
              <w:spacing w:after="0"/>
              <w:rPr>
                <w:sz w:val="1"/>
                <w:szCs w:val="1"/>
                <w:color w:val="auto"/>
              </w:rPr>
            </w:pPr>
          </w:p>
        </w:tc>
      </w:tr>
      <w:tr>
        <w:trPr>
          <w:trHeight w:val="230"/>
        </w:trPr>
        <w:tc>
          <w:tcPr>
            <w:tcW w:w="9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realized appreciation (depreciation) on foreign currency transactions</w:t>
            </w: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29"/>
        </w:trPr>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net unrealized appreciation (depreciation) on investments</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30"/>
        </w:trPr>
        <w:tc>
          <w:tcPr>
            <w:tcW w:w="9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net unrealized appreciation (depreciation) on financial derivatives</w:t>
            </w: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29"/>
        </w:trPr>
        <w:tc>
          <w:tcPr>
            <w:tcW w:w="9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Change in net unrealized appreciation (depreciation) on foreign currency transactions</w:t>
            </w: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0" w:type="dxa"/>
            <w:vAlign w:val="bottom"/>
          </w:tcPr>
          <w:p>
            <w:pPr>
              <w:spacing w:after="0"/>
              <w:rPr>
                <w:sz w:val="1"/>
                <w:szCs w:val="1"/>
                <w:color w:val="auto"/>
              </w:rPr>
            </w:pPr>
          </w:p>
        </w:tc>
      </w:tr>
      <w:tr>
        <w:trPr>
          <w:trHeight w:val="223"/>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net realized and change in unrealized appreciation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155"/>
        </w:trPr>
        <w:tc>
          <w:tcPr>
            <w:tcW w:w="90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INCREASE (DECREASE) IN NET ASSETS RESULTING FROM OPERATIONS ATTRIBUTABLE TO</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14,485</w:t>
            </w:r>
          </w:p>
        </w:tc>
        <w:tc>
          <w:tcPr>
            <w:tcW w:w="0" w:type="dxa"/>
            <w:vAlign w:val="bottom"/>
          </w:tcPr>
          <w:p>
            <w:pPr>
              <w:spacing w:after="0"/>
              <w:rPr>
                <w:sz w:val="1"/>
                <w:szCs w:val="1"/>
                <w:color w:val="auto"/>
              </w:rPr>
            </w:pPr>
          </w:p>
        </w:tc>
      </w:tr>
      <w:tr>
        <w:trPr>
          <w:trHeight w:val="221"/>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SHAREHOLDERS</w:t>
            </w:r>
          </w:p>
        </w:tc>
        <w:tc>
          <w:tcPr>
            <w:tcW w:w="220" w:type="dxa"/>
            <w:vAlign w:val="bottom"/>
            <w:tcBorders>
              <w:bottom w:val="single" w:sz="8" w:color="auto"/>
            </w:tcBorders>
            <w:vMerge w:val="continue"/>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480" w:hanging="310"/>
        <w:spacing w:after="0"/>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$0.2 million and $0.1 million of directors fees and expenses and fees paid to a third-party sub-administrator for administrative fees, respectively.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968"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9000" w:type="dxa"/>
            <w:vAlign w:val="bottom"/>
          </w:tcPr>
          <w:p>
            <w:pPr>
              <w:jc w:val="center"/>
              <w:ind w:left="2151"/>
              <w:spacing w:after="0"/>
              <w:rPr>
                <w:sz w:val="20"/>
                <w:szCs w:val="20"/>
                <w:color w:val="auto"/>
              </w:rPr>
            </w:pPr>
            <w:r>
              <w:rPr>
                <w:rFonts w:ascii="Times New Roman" w:cs="Times New Roman" w:eastAsia="Times New Roman" w:hAnsi="Times New Roman"/>
                <w:sz w:val="18"/>
                <w:szCs w:val="18"/>
                <w:b w:val="1"/>
                <w:bCs w:val="1"/>
                <w:color w:val="auto"/>
                <w:w w:val="99"/>
              </w:rPr>
              <w:t>ELLINGTON CREDIT COMPANY</w:t>
            </w: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29"/>
        </w:trPr>
        <w:tc>
          <w:tcPr>
            <w:tcW w:w="9000" w:type="dxa"/>
            <w:vAlign w:val="bottom"/>
          </w:tcPr>
          <w:p>
            <w:pPr>
              <w:jc w:val="center"/>
              <w:ind w:left="2151"/>
              <w:spacing w:after="0"/>
              <w:rPr>
                <w:sz w:val="20"/>
                <w:szCs w:val="20"/>
                <w:color w:val="auto"/>
              </w:rPr>
            </w:pPr>
            <w:r>
              <w:rPr>
                <w:rFonts w:ascii="Times New Roman" w:cs="Times New Roman" w:eastAsia="Times New Roman" w:hAnsi="Times New Roman"/>
                <w:sz w:val="18"/>
                <w:szCs w:val="18"/>
                <w:b w:val="1"/>
                <w:bCs w:val="1"/>
                <w:color w:val="auto"/>
                <w:w w:val="99"/>
              </w:rPr>
              <w:t>CONSOLIDATED STATEMENT OF CHANGES IN NET ASSETS</w:t>
            </w: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38"/>
        </w:trPr>
        <w:tc>
          <w:tcPr>
            <w:tcW w:w="9000" w:type="dxa"/>
            <w:vAlign w:val="bottom"/>
          </w:tcPr>
          <w:p>
            <w:pPr>
              <w:jc w:val="center"/>
              <w:ind w:left="2151"/>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54"/>
        </w:trPr>
        <w:tc>
          <w:tcPr>
            <w:tcW w:w="9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r>
      <w:tr>
        <w:trPr>
          <w:trHeight w:val="209"/>
        </w:trPr>
        <w:tc>
          <w:tcPr>
            <w:tcW w:w="9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Six-Month</w:t>
            </w:r>
          </w:p>
        </w:tc>
      </w:tr>
      <w:tr>
        <w:trPr>
          <w:trHeight w:val="180"/>
        </w:trPr>
        <w:tc>
          <w:tcPr>
            <w:tcW w:w="9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Pr>
          <w:p>
            <w:pPr>
              <w:jc w:val="center"/>
              <w:ind w:right="131"/>
              <w:spacing w:after="0" w:line="180" w:lineRule="exact"/>
              <w:rPr>
                <w:sz w:val="20"/>
                <w:szCs w:val="20"/>
                <w:color w:val="auto"/>
              </w:rPr>
            </w:pPr>
            <w:r>
              <w:rPr>
                <w:rFonts w:ascii="Times New Roman" w:cs="Times New Roman" w:eastAsia="Times New Roman" w:hAnsi="Times New Roman"/>
                <w:sz w:val="18"/>
                <w:szCs w:val="18"/>
                <w:b w:val="1"/>
                <w:bCs w:val="1"/>
                <w:color w:val="auto"/>
                <w:w w:val="98"/>
              </w:rPr>
              <w:t>Period Ended</w:t>
            </w:r>
          </w:p>
        </w:tc>
      </w:tr>
      <w:tr>
        <w:trPr>
          <w:trHeight w:val="238"/>
        </w:trPr>
        <w:tc>
          <w:tcPr>
            <w:tcW w:w="9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rPr>
              <w:t>September 30, 2025</w:t>
            </w:r>
          </w:p>
        </w:tc>
      </w:tr>
      <w:tr>
        <w:trPr>
          <w:trHeight w:val="190"/>
        </w:trPr>
        <w:tc>
          <w:tcPr>
            <w:tcW w:w="9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amounts)</w:t>
            </w:r>
          </w:p>
        </w:tc>
        <w:tc>
          <w:tcPr>
            <w:tcW w:w="220" w:type="dxa"/>
            <w:vAlign w:val="bottom"/>
          </w:tcPr>
          <w:p>
            <w:pPr>
              <w:spacing w:after="0"/>
              <w:rPr>
                <w:sz w:val="16"/>
                <w:szCs w:val="16"/>
                <w:color w:val="auto"/>
              </w:rPr>
            </w:pPr>
          </w:p>
        </w:tc>
        <w:tc>
          <w:tcPr>
            <w:tcW w:w="2020" w:type="dxa"/>
            <w:vAlign w:val="bottom"/>
          </w:tcPr>
          <w:p>
            <w:pPr>
              <w:jc w:val="center"/>
              <w:ind w:right="131"/>
              <w:spacing w:after="0"/>
              <w:rPr>
                <w:sz w:val="20"/>
                <w:szCs w:val="20"/>
                <w:color w:val="auto"/>
              </w:rPr>
            </w:pPr>
            <w:r>
              <w:rPr>
                <w:rFonts w:ascii="Times New Roman" w:cs="Times New Roman" w:eastAsia="Times New Roman" w:hAnsi="Times New Roman"/>
                <w:sz w:val="14"/>
                <w:szCs w:val="14"/>
                <w:i w:val="1"/>
                <w:iCs w:val="1"/>
                <w:color w:val="auto"/>
              </w:rPr>
              <w:t>(Expressed in U.S. Dollars)</w:t>
            </w:r>
          </w:p>
        </w:tc>
      </w:tr>
      <w:tr>
        <w:trPr>
          <w:trHeight w:val="236"/>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NET ASSETS RESULTING FROM OPERATIONS:</w:t>
            </w:r>
          </w:p>
        </w:tc>
        <w:tc>
          <w:tcPr>
            <w:tcW w:w="22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r>
      <w:tr>
        <w:trPr>
          <w:trHeight w:val="230"/>
        </w:trPr>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15,006</w:t>
            </w:r>
          </w:p>
        </w:tc>
      </w:tr>
      <w:tr>
        <w:trPr>
          <w:trHeight w:val="229"/>
        </w:trPr>
        <w:tc>
          <w:tcPr>
            <w:tcW w:w="9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realized appreciation (depreciation) on investments, financial derivatives, and foreign currency transactions</w:t>
            </w: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r>
      <w:tr>
        <w:trPr>
          <w:trHeight w:val="175"/>
        </w:trPr>
        <w:tc>
          <w:tcPr>
            <w:tcW w:w="90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Change in net unrealized appreciation (depreciation) on investments, financial derivatives, and foreign currency</w:t>
            </w:r>
          </w:p>
        </w:tc>
        <w:tc>
          <w:tcPr>
            <w:tcW w:w="22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43"/>
        </w:trPr>
        <w:tc>
          <w:tcPr>
            <w:tcW w:w="9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transactions</w:t>
            </w:r>
          </w:p>
        </w:tc>
        <w:tc>
          <w:tcPr>
            <w:tcW w:w="2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w:t>
            </w:r>
          </w:p>
        </w:tc>
      </w:tr>
      <w:tr>
        <w:trPr>
          <w:trHeight w:val="223"/>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INCREASE (DECREASE) IN NET ASSETS RESULTING FROM OPERATIONS</w:t>
            </w:r>
          </w:p>
        </w:tc>
        <w:tc>
          <w:tcPr>
            <w:tcW w:w="2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14,485</w:t>
            </w:r>
          </w:p>
        </w:tc>
      </w:tr>
      <w:tr>
        <w:trPr>
          <w:trHeight w:val="20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DISTRIBUTIONS TO SHAREHOLDERS:</w:t>
            </w: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29"/>
        </w:trPr>
        <w:tc>
          <w:tcPr>
            <w:tcW w:w="9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Distributions from earnings</w:t>
            </w: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(15,527)</w:t>
            </w:r>
          </w:p>
        </w:tc>
      </w:tr>
      <w:tr>
        <w:trPr>
          <w:trHeight w:val="230"/>
        </w:trPr>
        <w:tc>
          <w:tcPr>
            <w:tcW w:w="9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Distributions from return of capital</w:t>
            </w: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w:t>
            </w:r>
          </w:p>
        </w:tc>
      </w:tr>
      <w:tr>
        <w:trPr>
          <w:trHeight w:val="223"/>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DISTRIBUTIONS TO SHAREHOLDERS</w:t>
            </w:r>
          </w:p>
        </w:tc>
        <w:tc>
          <w:tcPr>
            <w:tcW w:w="2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(18,030)</w:t>
            </w:r>
          </w:p>
        </w:tc>
      </w:tr>
      <w:tr>
        <w:trPr>
          <w:trHeight w:val="21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CAPITAL TRANSACTIONS:</w:t>
            </w: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29"/>
        </w:trPr>
        <w:tc>
          <w:tcPr>
            <w:tcW w:w="9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Reinvestment of dividends</w:t>
            </w: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9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Share based compensation</w:t>
            </w: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3"/>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INCREASE (DECREASE) FROM CAPITAL TRANSACTIONS</w:t>
            </w:r>
          </w:p>
        </w:tc>
        <w:tc>
          <w:tcPr>
            <w:tcW w:w="2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3"/>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INCREASE (DECREASE) IN NET ASSETS</w:t>
            </w: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w:t>
            </w:r>
          </w:p>
        </w:tc>
      </w:tr>
      <w:tr>
        <w:trPr>
          <w:trHeight w:val="223"/>
        </w:trPr>
        <w:tc>
          <w:tcPr>
            <w:tcW w:w="90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NET ASSETS—Beginning of Period</w:t>
            </w:r>
            <w:r>
              <w:rPr>
                <w:rFonts w:ascii="Times New Roman" w:cs="Times New Roman" w:eastAsia="Times New Roman" w:hAnsi="Times New Roman"/>
                <w:sz w:val="23"/>
                <w:szCs w:val="23"/>
                <w:b w:val="1"/>
                <w:bCs w:val="1"/>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228,501</w:t>
            </w: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ASSETS—End of Period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225,087</w:t>
            </w:r>
          </w:p>
        </w:tc>
      </w:tr>
      <w:tr>
        <w:trPr>
          <w:trHeight w:val="20"/>
        </w:trPr>
        <w:tc>
          <w:tcPr>
            <w:tcW w:w="9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196"/>
        </w:trPr>
        <w:tc>
          <w:tcPr>
            <w:tcW w:w="90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Capital share activity:</w:t>
            </w:r>
          </w:p>
        </w:tc>
        <w:tc>
          <w:tcPr>
            <w:tcW w:w="2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r>
      <w:tr>
        <w:trPr>
          <w:trHeight w:val="230"/>
        </w:trPr>
        <w:tc>
          <w:tcPr>
            <w:tcW w:w="9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Shares issued from distribution reinvestment plan</w:t>
            </w: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8,654</w:t>
            </w:r>
          </w:p>
        </w:tc>
      </w:tr>
      <w:tr>
        <w:trPr>
          <w:trHeight w:val="248"/>
        </w:trPr>
        <w:tc>
          <w:tcPr>
            <w:tcW w:w="9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Increase in Shares Outstanding</w:t>
            </w:r>
          </w:p>
        </w:tc>
        <w:tc>
          <w:tcPr>
            <w:tcW w:w="220" w:type="dxa"/>
            <w:vAlign w:val="bottom"/>
            <w:tcBorders>
              <w:bottom w:val="single" w:sz="8" w:color="auto"/>
            </w:tcBorders>
            <w:shd w:val="clear" w:color="auto" w:fill="CCEEFF"/>
          </w:tcPr>
          <w:p>
            <w:pPr>
              <w:spacing w:after="0"/>
              <w:rPr>
                <w:sz w:val="21"/>
                <w:szCs w:val="21"/>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8,654</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500" w:right="140" w:hanging="330"/>
        <w:spacing w:after="0" w:line="282" w:lineRule="auto"/>
        <w:tabs>
          <w:tab w:leader="none" w:pos="49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1, 2025, the date the Fund converted to a Delaware closed-end fund registered under the Investment Company Act of 1940, as amended. See Note 1 and Note 2 of the Notes to Consolidated Financial Statements for details.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968"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SHAREHOLDERS’ EQUITY</w:t>
      </w:r>
      <w:r>
        <w:rPr>
          <w:rFonts w:ascii="Times New Roman" w:cs="Times New Roman" w:eastAsia="Times New Roman" w:hAnsi="Times New Roman"/>
          <w:sz w:val="23"/>
          <w:szCs w:val="23"/>
          <w:b w:val="1"/>
          <w:b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16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12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20" w:type="dxa"/>
            <w:vAlign w:val="bottom"/>
          </w:tcPr>
          <w:p>
            <w:pPr>
              <w:spacing w:after="0"/>
              <w:rPr>
                <w:sz w:val="13"/>
                <w:szCs w:val="13"/>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50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20" w:type="dxa"/>
            <w:vAlign w:val="bottom"/>
          </w:tcPr>
          <w:p>
            <w:pPr>
              <w:spacing w:after="0"/>
              <w:rPr>
                <w:sz w:val="12"/>
                <w:szCs w:val="12"/>
                <w:color w:val="auto"/>
              </w:rPr>
            </w:pPr>
          </w:p>
        </w:tc>
        <w:tc>
          <w:tcPr>
            <w:tcW w:w="9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Shares,</w:t>
            </w: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8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in-Capital</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(Deficit) Earnings</w:t>
            </w: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500" w:type="dxa"/>
            <w:vAlign w:val="bottom"/>
          </w:tcPr>
          <w:p>
            <w:pPr>
              <w:ind w:left="180"/>
              <w:spacing w:after="0"/>
              <w:rPr>
                <w:sz w:val="20"/>
                <w:szCs w:val="20"/>
                <w:color w:val="auto"/>
              </w:rPr>
            </w:pPr>
            <w:r>
              <w:rPr>
                <w:rFonts w:ascii="Times New Roman" w:cs="Times New Roman" w:eastAsia="Times New Roman" w:hAnsi="Times New Roman"/>
                <w:sz w:val="13"/>
                <w:szCs w:val="13"/>
                <w:i w:val="1"/>
                <w:iCs w:val="1"/>
                <w:color w:val="auto"/>
              </w:rPr>
              <w:t>(In thousands except for share amounts)</w:t>
            </w: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18,601,464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274,698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(138,646)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136,238</w:t>
            </w:r>
          </w:p>
        </w:tc>
        <w:tc>
          <w:tcPr>
            <w:tcW w:w="0" w:type="dxa"/>
            <w:vAlign w:val="bottom"/>
          </w:tcPr>
          <w:p>
            <w:pPr>
              <w:spacing w:after="0"/>
              <w:rPr>
                <w:sz w:val="1"/>
                <w:szCs w:val="1"/>
                <w:color w:val="auto"/>
              </w:rPr>
            </w:pPr>
          </w:p>
        </w:tc>
      </w:tr>
      <w:tr>
        <w:trPr>
          <w:trHeight w:val="210"/>
        </w:trPr>
        <w:tc>
          <w:tcPr>
            <w:tcW w:w="3500" w:type="dxa"/>
            <w:vAlign w:val="bottom"/>
          </w:tcPr>
          <w:p>
            <w:pPr>
              <w:ind w:left="120"/>
              <w:spacing w:after="0" w:line="210" w:lineRule="exact"/>
              <w:rPr>
                <w:sz w:val="20"/>
                <w:szCs w:val="20"/>
                <w:color w:val="auto"/>
              </w:rPr>
            </w:pPr>
            <w:r>
              <w:rPr>
                <w:rFonts w:ascii="Times New Roman" w:cs="Times New Roman" w:eastAsia="Times New Roman" w:hAnsi="Times New Roman"/>
                <w:sz w:val="16"/>
                <w:szCs w:val="16"/>
                <w:color w:val="auto"/>
              </w:rPr>
              <w:t>Common shares issued</w:t>
            </w:r>
            <w:r>
              <w:rPr>
                <w:rFonts w:ascii="Times New Roman" w:cs="Times New Roman" w:eastAsia="Times New Roman" w:hAnsi="Times New Roman"/>
                <w:sz w:val="21"/>
                <w:szCs w:val="21"/>
                <w:color w:val="auto"/>
                <w:vertAlign w:val="superscript"/>
              </w:rPr>
              <w:t>(3)</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10,964,023</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73,448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73,558</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Preferred shares issued</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3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of restricted shares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Share based compensation</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0" w:type="dxa"/>
            <w:vAlign w:val="bottom"/>
          </w:tcPr>
          <w:p>
            <w:pPr>
              <w:spacing w:after="0"/>
              <w:rPr>
                <w:sz w:val="1"/>
                <w:szCs w:val="1"/>
                <w:color w:val="auto"/>
              </w:rPr>
            </w:pPr>
          </w:p>
        </w:tc>
      </w:tr>
      <w:tr>
        <w:trPr>
          <w:trHeight w:val="162"/>
        </w:trPr>
        <w:tc>
          <w:tcPr>
            <w:tcW w:w="350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Forfeiture of common shares to satisfy tax</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(4,163)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withholding obligations</w:t>
            </w: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20"/>
              <w:spacing w:after="0" w:line="219" w:lineRule="exact"/>
              <w:rPr>
                <w:sz w:val="20"/>
                <w:szCs w:val="20"/>
                <w:color w:val="auto"/>
              </w:rPr>
            </w:pPr>
            <w:r>
              <w:rPr>
                <w:rFonts w:ascii="Times New Roman" w:cs="Times New Roman" w:eastAsia="Times New Roman" w:hAnsi="Times New Roman"/>
                <w:sz w:val="16"/>
                <w:szCs w:val="16"/>
                <w:color w:val="auto"/>
              </w:rPr>
              <w:t>Dividends declared</w:t>
            </w:r>
            <w:r>
              <w:rPr>
                <w:rFonts w:ascii="Times New Roman" w:cs="Times New Roman" w:eastAsia="Times New Roman" w:hAnsi="Times New Roman"/>
                <w:sz w:val="21"/>
                <w:szCs w:val="21"/>
                <w:color w:val="auto"/>
                <w:vertAlign w:val="superscript"/>
              </w:rPr>
              <w:t>(4)</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(23,099)</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6,586</w:t>
            </w:r>
          </w:p>
        </w:tc>
        <w:tc>
          <w:tcPr>
            <w:tcW w:w="0" w:type="dxa"/>
            <w:vAlign w:val="bottom"/>
          </w:tcPr>
          <w:p>
            <w:pPr>
              <w:spacing w:after="0"/>
              <w:rPr>
                <w:sz w:val="1"/>
                <w:szCs w:val="1"/>
                <w:color w:val="auto"/>
              </w:rPr>
            </w:pPr>
          </w:p>
        </w:tc>
      </w:tr>
      <w:tr>
        <w:trPr>
          <w:trHeight w:val="21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29,651,553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348,587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(155,159)</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193,726</w:t>
            </w:r>
          </w:p>
        </w:tc>
        <w:tc>
          <w:tcPr>
            <w:tcW w:w="0" w:type="dxa"/>
            <w:vAlign w:val="bottom"/>
          </w:tcPr>
          <w:p>
            <w:pPr>
              <w:spacing w:after="0"/>
              <w:rPr>
                <w:sz w:val="1"/>
                <w:szCs w:val="1"/>
                <w:color w:val="auto"/>
              </w:rPr>
            </w:pPr>
          </w:p>
        </w:tc>
      </w:tr>
      <w:tr>
        <w:trPr>
          <w:trHeight w:val="210"/>
        </w:trPr>
        <w:tc>
          <w:tcPr>
            <w:tcW w:w="3500" w:type="dxa"/>
            <w:vAlign w:val="bottom"/>
          </w:tcPr>
          <w:p>
            <w:pPr>
              <w:ind w:left="120"/>
              <w:spacing w:after="0" w:line="210" w:lineRule="exact"/>
              <w:rPr>
                <w:sz w:val="20"/>
                <w:szCs w:val="20"/>
                <w:color w:val="auto"/>
              </w:rPr>
            </w:pPr>
            <w:r>
              <w:rPr>
                <w:rFonts w:ascii="Times New Roman" w:cs="Times New Roman" w:eastAsia="Times New Roman" w:hAnsi="Times New Roman"/>
                <w:sz w:val="16"/>
                <w:szCs w:val="16"/>
                <w:color w:val="auto"/>
              </w:rPr>
              <w:t>Common shares issued</w:t>
            </w:r>
            <w:r>
              <w:rPr>
                <w:rFonts w:ascii="Times New Roman" w:cs="Times New Roman" w:eastAsia="Times New Roman" w:hAnsi="Times New Roman"/>
                <w:sz w:val="21"/>
                <w:szCs w:val="21"/>
                <w:color w:val="auto"/>
                <w:vertAlign w:val="superscript"/>
              </w:rPr>
              <w:t>(3)</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8,075,118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52,136</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Preferred shares redeemed</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3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 based compensation</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Repurchase of common shares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0" w:type="dxa"/>
            <w:vAlign w:val="bottom"/>
          </w:tcPr>
          <w:p>
            <w:pPr>
              <w:spacing w:after="0"/>
              <w:rPr>
                <w:sz w:val="1"/>
                <w:szCs w:val="1"/>
                <w:color w:val="auto"/>
              </w:rPr>
            </w:pPr>
          </w:p>
        </w:tc>
      </w:tr>
      <w:tr>
        <w:trPr>
          <w:trHeight w:val="216"/>
        </w:trPr>
        <w:tc>
          <w:tcPr>
            <w:tcW w:w="3500" w:type="dxa"/>
            <w:vAlign w:val="bottom"/>
          </w:tcPr>
          <w:p>
            <w:pPr>
              <w:ind w:left="120"/>
              <w:spacing w:after="0" w:line="216" w:lineRule="exact"/>
              <w:rPr>
                <w:sz w:val="20"/>
                <w:szCs w:val="20"/>
                <w:color w:val="auto"/>
              </w:rPr>
            </w:pPr>
            <w:r>
              <w:rPr>
                <w:rFonts w:ascii="Times New Roman" w:cs="Times New Roman" w:eastAsia="Times New Roman" w:hAnsi="Times New Roman"/>
                <w:sz w:val="16"/>
                <w:szCs w:val="16"/>
                <w:color w:val="auto"/>
              </w:rPr>
              <w:t>Dividends declared</w:t>
            </w:r>
            <w:r>
              <w:rPr>
                <w:rFonts w:ascii="Times New Roman" w:cs="Times New Roman" w:eastAsia="Times New Roman" w:hAnsi="Times New Roman"/>
                <w:sz w:val="21"/>
                <w:szCs w:val="21"/>
                <w:color w:val="auto"/>
                <w:vertAlign w:val="superscript"/>
              </w:rPr>
              <w:t>(4)</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(8,715)</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(7,870)</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(7,870)</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March 31, 2025</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37,559,195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399,869</w:t>
            </w:r>
          </w:p>
        </w:tc>
        <w:tc>
          <w:tcPr>
            <w:tcW w:w="1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(171,744)</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228,501</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500" w:right="180" w:hanging="330"/>
        <w:spacing w:after="0" w:line="261" w:lineRule="auto"/>
        <w:tabs>
          <w:tab w:leader="none" w:pos="49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As discussed in Note 1 of the Notes to Consolidated Financial Statements, the Fund converted to a Delaware closed-end fund registered under the Investment Company Act of 1940, as amended. As discussed in Note 2 to Consolidated Financial Statements, the Fund prospectively adopted ASC 946, </w:t>
      </w:r>
      <w:r>
        <w:rPr>
          <w:rFonts w:ascii="Times New Roman" w:cs="Times New Roman" w:eastAsia="Times New Roman" w:hAnsi="Times New Roman"/>
          <w:sz w:val="14"/>
          <w:szCs w:val="14"/>
          <w:i w:val="1"/>
          <w:iCs w:val="1"/>
          <w:color w:val="auto"/>
        </w:rPr>
        <w:t>Financial Services—Investment Companies</w:t>
      </w:r>
      <w:r>
        <w:rPr>
          <w:rFonts w:ascii="Times New Roman" w:cs="Times New Roman" w:eastAsia="Times New Roman" w:hAnsi="Times New Roman"/>
          <w:sz w:val="14"/>
          <w:szCs w:val="14"/>
          <w:color w:val="auto"/>
        </w:rPr>
        <w:t xml:space="preserve"> (“ASC 946”) which resulted in changes to terminology and presentation of the Fund’s financial statements. The Consolidated Statement of Shareholders’ Equity is the equivalent of the Consolidated Statement of Changes in Net Assets, required by ASC 946. See Note 7 to Consolidated Financial Statements for additional details.</w:t>
      </w:r>
    </w:p>
    <w:p>
      <w:pPr>
        <w:ind w:left="480" w:hanging="310"/>
        <w:spacing w:after="0"/>
        <w:tabs>
          <w:tab w:leader="none" w:pos="4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Derived from the audited financials for the three-month period ended March 31, 2025 and the year ended December 31, 2024.</w:t>
      </w:r>
    </w:p>
    <w:p>
      <w:pPr>
        <w:spacing w:after="0" w:line="14"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discounts and commissions and offering costs.</w:t>
      </w:r>
    </w:p>
    <w:p>
      <w:pPr>
        <w:spacing w:after="0" w:line="4" w:lineRule="exact"/>
        <w:rPr>
          <w:rFonts w:ascii="Times New Roman" w:cs="Times New Roman" w:eastAsia="Times New Roman" w:hAnsi="Times New Roman"/>
          <w:sz w:val="14"/>
          <w:szCs w:val="14"/>
          <w:color w:val="auto"/>
        </w:rPr>
      </w:pPr>
    </w:p>
    <w:p>
      <w:pPr>
        <w:ind w:left="500" w:right="340" w:hanging="330"/>
        <w:spacing w:after="0" w:line="278" w:lineRule="auto"/>
        <w:tabs>
          <w:tab w:leader="none" w:pos="49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three-month period ended March 31, 2025, dividends totaling $0.24 per common share outstanding were declared. For the year ended December 31, 2024, dividends totaling $0.96 per common share outstanding were declared.</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21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0"/>
        </w:trPr>
        <w:tc>
          <w:tcPr>
            <w:tcW w:w="9060" w:type="dxa"/>
            <w:vAlign w:val="bottom"/>
          </w:tcPr>
          <w:p>
            <w:pPr>
              <w:jc w:val="center"/>
              <w:ind w:left="2095"/>
              <w:spacing w:after="0"/>
              <w:rPr>
                <w:sz w:val="20"/>
                <w:szCs w:val="20"/>
                <w:color w:val="auto"/>
              </w:rPr>
            </w:pPr>
            <w:r>
              <w:rPr>
                <w:rFonts w:ascii="Times New Roman" w:cs="Times New Roman" w:eastAsia="Times New Roman" w:hAnsi="Times New Roman"/>
                <w:sz w:val="18"/>
                <w:szCs w:val="18"/>
                <w:b w:val="1"/>
                <w:bCs w:val="1"/>
                <w:color w:val="auto"/>
                <w:w w:val="99"/>
              </w:rPr>
              <w:t>ELLINGTON CREDIT COMPANY</w:t>
            </w:r>
          </w:p>
        </w:tc>
        <w:tc>
          <w:tcPr>
            <w:tcW w:w="2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29"/>
        </w:trPr>
        <w:tc>
          <w:tcPr>
            <w:tcW w:w="9060" w:type="dxa"/>
            <w:vAlign w:val="bottom"/>
          </w:tcPr>
          <w:p>
            <w:pPr>
              <w:jc w:val="center"/>
              <w:ind w:left="2095"/>
              <w:spacing w:after="0"/>
              <w:rPr>
                <w:sz w:val="20"/>
                <w:szCs w:val="20"/>
                <w:color w:val="auto"/>
              </w:rPr>
            </w:pPr>
            <w:r>
              <w:rPr>
                <w:rFonts w:ascii="Times New Roman" w:cs="Times New Roman" w:eastAsia="Times New Roman" w:hAnsi="Times New Roman"/>
                <w:sz w:val="18"/>
                <w:szCs w:val="18"/>
                <w:b w:val="1"/>
                <w:bCs w:val="1"/>
                <w:color w:val="auto"/>
                <w:w w:val="98"/>
              </w:rPr>
              <w:t>CONSOLIDATED STATEMENT OF CASH FLOWS</w:t>
            </w:r>
          </w:p>
        </w:tc>
        <w:tc>
          <w:tcPr>
            <w:tcW w:w="2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8"/>
        </w:trPr>
        <w:tc>
          <w:tcPr>
            <w:tcW w:w="9060" w:type="dxa"/>
            <w:vAlign w:val="bottom"/>
          </w:tcPr>
          <w:p>
            <w:pPr>
              <w:jc w:val="center"/>
              <w:ind w:left="2095"/>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54"/>
        </w:trPr>
        <w:tc>
          <w:tcPr>
            <w:tcW w:w="90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r>
      <w:tr>
        <w:trPr>
          <w:trHeight w:val="210"/>
        </w:trPr>
        <w:tc>
          <w:tcPr>
            <w:tcW w:w="9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Six-Month</w:t>
            </w:r>
          </w:p>
        </w:tc>
      </w:tr>
      <w:tr>
        <w:trPr>
          <w:trHeight w:val="180"/>
        </w:trPr>
        <w:tc>
          <w:tcPr>
            <w:tcW w:w="9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center"/>
              <w:ind w:right="110"/>
              <w:spacing w:after="0" w:line="180" w:lineRule="exact"/>
              <w:rPr>
                <w:sz w:val="20"/>
                <w:szCs w:val="20"/>
                <w:color w:val="auto"/>
              </w:rPr>
            </w:pPr>
            <w:r>
              <w:rPr>
                <w:rFonts w:ascii="Times New Roman" w:cs="Times New Roman" w:eastAsia="Times New Roman" w:hAnsi="Times New Roman"/>
                <w:sz w:val="18"/>
                <w:szCs w:val="18"/>
                <w:b w:val="1"/>
                <w:bCs w:val="1"/>
                <w:color w:val="auto"/>
              </w:rPr>
              <w:t>Period Ended</w:t>
            </w:r>
          </w:p>
        </w:tc>
      </w:tr>
      <w:tr>
        <w:trPr>
          <w:trHeight w:val="238"/>
        </w:trPr>
        <w:tc>
          <w:tcPr>
            <w:tcW w:w="9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r>
      <w:tr>
        <w:trPr>
          <w:trHeight w:val="190"/>
        </w:trPr>
        <w:tc>
          <w:tcPr>
            <w:tcW w:w="9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center"/>
              <w:ind w:right="110"/>
              <w:spacing w:after="0"/>
              <w:rPr>
                <w:sz w:val="20"/>
                <w:szCs w:val="20"/>
                <w:color w:val="auto"/>
              </w:rPr>
            </w:pPr>
            <w:r>
              <w:rPr>
                <w:rFonts w:ascii="Times New Roman" w:cs="Times New Roman" w:eastAsia="Times New Roman" w:hAnsi="Times New Roman"/>
                <w:sz w:val="14"/>
                <w:szCs w:val="14"/>
                <w:i w:val="1"/>
                <w:iCs w:val="1"/>
                <w:color w:val="auto"/>
              </w:rPr>
              <w:t>(Expressed in U.S. Dollars)</w:t>
            </w:r>
          </w:p>
        </w:tc>
      </w:tr>
      <w:tr>
        <w:trPr>
          <w:trHeight w:val="236"/>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0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r>
      <w:tr>
        <w:trPr>
          <w:trHeight w:val="230"/>
        </w:trPr>
        <w:tc>
          <w:tcPr>
            <w:tcW w:w="9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increase (decrease) in net assets resulting from operations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14,485</w:t>
            </w:r>
          </w:p>
        </w:tc>
      </w:tr>
      <w:tr>
        <w:trPr>
          <w:trHeight w:val="163"/>
        </w:trPr>
        <w:tc>
          <w:tcPr>
            <w:tcW w:w="906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b w:val="1"/>
                <w:bCs w:val="1"/>
                <w:color w:val="auto"/>
              </w:rPr>
              <w:t>Adjustments to reconcile net increase in net assets resulting from operations to net cash provided by (used in) operating</w:t>
            </w:r>
          </w:p>
        </w:tc>
        <w:tc>
          <w:tcPr>
            <w:tcW w:w="20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r>
      <w:tr>
        <w:trPr>
          <w:trHeight w:val="228"/>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activities:</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r>
      <w:tr>
        <w:trPr>
          <w:trHeight w:val="230"/>
        </w:trPr>
        <w:tc>
          <w:tcPr>
            <w:tcW w:w="9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Purchases of investments</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(233,550)</w:t>
            </w:r>
          </w:p>
        </w:tc>
      </w:tr>
      <w:tr>
        <w:trPr>
          <w:trHeight w:val="229"/>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sale of investments</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544,941</w:t>
            </w:r>
          </w:p>
        </w:tc>
      </w:tr>
      <w:tr>
        <w:trPr>
          <w:trHeight w:val="230"/>
        </w:trPr>
        <w:tc>
          <w:tcPr>
            <w:tcW w:w="9060" w:type="dxa"/>
            <w:vAlign w:val="bottom"/>
          </w:tcPr>
          <w:p>
            <w:pPr>
              <w:ind w:left="140"/>
              <w:spacing w:after="0" w:line="229" w:lineRule="exact"/>
              <w:rPr>
                <w:sz w:val="20"/>
                <w:szCs w:val="20"/>
                <w:color w:val="auto"/>
              </w:rPr>
            </w:pPr>
            <w:r>
              <w:rPr>
                <w:rFonts w:ascii="Times New Roman" w:cs="Times New Roman" w:eastAsia="Times New Roman" w:hAnsi="Times New Roman"/>
                <w:sz w:val="17"/>
                <w:szCs w:val="17"/>
                <w:color w:val="auto"/>
              </w:rPr>
              <w:t>Principal payments of investments</w:t>
            </w:r>
            <w:r>
              <w:rPr>
                <w:rFonts w:ascii="Times New Roman" w:cs="Times New Roman" w:eastAsia="Times New Roman" w:hAnsi="Times New Roman"/>
                <w:sz w:val="22"/>
                <w:szCs w:val="22"/>
                <w:color w:val="auto"/>
                <w:vertAlign w:val="superscript"/>
              </w:rPr>
              <w:t>(1)</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46,935</w:t>
            </w:r>
          </w:p>
        </w:tc>
      </w:tr>
      <w:tr>
        <w:trPr>
          <w:trHeight w:val="229"/>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Repurchase of investments sold short</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(505,368)</w:t>
            </w:r>
          </w:p>
        </w:tc>
      </w:tr>
      <w:tr>
        <w:trPr>
          <w:trHeight w:val="229"/>
        </w:trPr>
        <w:tc>
          <w:tcPr>
            <w:tcW w:w="9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disposition of financial derivatives</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6,659</w:t>
            </w:r>
          </w:p>
        </w:tc>
      </w:tr>
      <w:tr>
        <w:trPr>
          <w:trHeight w:val="230"/>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 of financial derivatives</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w:t>
            </w:r>
          </w:p>
        </w:tc>
      </w:tr>
      <w:tr>
        <w:trPr>
          <w:trHeight w:val="229"/>
        </w:trPr>
        <w:tc>
          <w:tcPr>
            <w:tcW w:w="9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realized (appreciation) depreciation on investments</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29"/>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realized (appreciation) depreciation on financial derivatives</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w:t>
            </w:r>
          </w:p>
        </w:tc>
      </w:tr>
      <w:tr>
        <w:trPr>
          <w:trHeight w:val="230"/>
        </w:trPr>
        <w:tc>
          <w:tcPr>
            <w:tcW w:w="9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realized (appreciation) depreciation on foreign currency transactions</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r>
      <w:tr>
        <w:trPr>
          <w:trHeight w:val="229"/>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 in net unrealized (appreciation) depreciation on investments</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30"/>
        </w:trPr>
        <w:tc>
          <w:tcPr>
            <w:tcW w:w="9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 in net unrealized (appreciation) depreciation on financial derivatives</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r>
      <w:tr>
        <w:trPr>
          <w:trHeight w:val="229"/>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 in net unrealized (appreciation) depreciation on foreign currency transactions</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r>
      <w:tr>
        <w:trPr>
          <w:trHeight w:val="229"/>
        </w:trPr>
        <w:tc>
          <w:tcPr>
            <w:tcW w:w="9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Amortization of premiums and accretion of discounts, net</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r>
      <w:tr>
        <w:trPr>
          <w:trHeight w:val="230"/>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Share based compensation</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6"/>
        </w:trPr>
        <w:tc>
          <w:tcPr>
            <w:tcW w:w="9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(Increase) decrease in operating assets:</w:t>
            </w:r>
          </w:p>
        </w:tc>
        <w:tc>
          <w:tcPr>
            <w:tcW w:w="2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3"/>
        </w:trPr>
        <w:tc>
          <w:tcPr>
            <w:tcW w:w="9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Receivable for investments sold</w:t>
            </w:r>
          </w:p>
        </w:tc>
        <w:tc>
          <w:tcPr>
            <w:tcW w:w="200" w:type="dxa"/>
            <w:vAlign w:val="bottom"/>
            <w:shd w:val="clear" w:color="auto" w:fill="CCEEFF"/>
          </w:tcPr>
          <w:p>
            <w:pPr>
              <w:spacing w:after="0"/>
              <w:rPr>
                <w:sz w:val="20"/>
                <w:szCs w:val="20"/>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501,441</w:t>
            </w:r>
          </w:p>
        </w:tc>
      </w:tr>
      <w:tr>
        <w:trPr>
          <w:trHeight w:val="230"/>
        </w:trPr>
        <w:tc>
          <w:tcPr>
            <w:tcW w:w="9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Due from brokers, net</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w:t>
            </w:r>
          </w:p>
        </w:tc>
      </w:tr>
      <w:tr>
        <w:trPr>
          <w:trHeight w:val="229"/>
        </w:trPr>
        <w:tc>
          <w:tcPr>
            <w:tcW w:w="9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Interest receivable</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30"/>
        </w:trPr>
        <w:tc>
          <w:tcPr>
            <w:tcW w:w="90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Other assets</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0"/>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Increase (decrease) in operating liabilities:</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r>
      <w:tr>
        <w:trPr>
          <w:trHeight w:val="230"/>
        </w:trPr>
        <w:tc>
          <w:tcPr>
            <w:tcW w:w="9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Performance fee payable to affiliate</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r>
      <w:tr>
        <w:trPr>
          <w:trHeight w:val="229"/>
        </w:trPr>
        <w:tc>
          <w:tcPr>
            <w:tcW w:w="9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Due to brokers, net</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90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9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Interest payable</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r>
      <w:tr>
        <w:trPr>
          <w:trHeight w:val="230"/>
        </w:trPr>
        <w:tc>
          <w:tcPr>
            <w:tcW w:w="9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Management fees payable to affiliate</w:t>
            </w: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364,104</w:t>
            </w:r>
          </w:p>
        </w:tc>
      </w:tr>
      <w:tr>
        <w:trPr>
          <w:trHeight w:val="208"/>
        </w:trPr>
        <w:tc>
          <w:tcPr>
            <w:tcW w:w="9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PROVIDED BY (USED IN) FINANCING ACTIVITIES:</w:t>
            </w: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1"/>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Offering costs paid</w:t>
            </w:r>
          </w:p>
        </w:tc>
        <w:tc>
          <w:tcPr>
            <w:tcW w:w="200" w:type="dxa"/>
            <w:vAlign w:val="bottom"/>
            <w:shd w:val="clear" w:color="auto" w:fill="CCEEFF"/>
          </w:tcPr>
          <w:p>
            <w:pPr>
              <w:spacing w:after="0"/>
              <w:rPr>
                <w:sz w:val="20"/>
                <w:szCs w:val="20"/>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30"/>
        </w:trPr>
        <w:tc>
          <w:tcPr>
            <w:tcW w:w="9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Distributions paid</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(17,983)</w:t>
            </w:r>
          </w:p>
        </w:tc>
      </w:tr>
      <w:tr>
        <w:trPr>
          <w:trHeight w:val="230"/>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Borrowings under reverse repurchase agreements</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483,608</w:t>
            </w:r>
          </w:p>
        </w:tc>
      </w:tr>
      <w:tr>
        <w:trPr>
          <w:trHeight w:val="230"/>
        </w:trPr>
        <w:tc>
          <w:tcPr>
            <w:tcW w:w="9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Repayments of reverse repurchase agreements</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(826,972)</w:t>
            </w:r>
          </w:p>
        </w:tc>
      </w:tr>
      <w:tr>
        <w:trPr>
          <w:trHeight w:val="229"/>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Due from brokers, net</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30"/>
        </w:trPr>
        <w:tc>
          <w:tcPr>
            <w:tcW w:w="9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Due to brokers, net</w:t>
            </w: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23"/>
        </w:trPr>
        <w:tc>
          <w:tcPr>
            <w:tcW w:w="9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provided by (used in) financing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(361,394)</w:t>
            </w:r>
          </w:p>
        </w:tc>
      </w:tr>
      <w:tr>
        <w:trPr>
          <w:trHeight w:val="22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INCREASE (DECREASE) IN CASH AND CASH EQUIVALENTS</w:t>
            </w: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BEGINNING OF PERIOD</w:t>
            </w: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17,375</w:t>
            </w: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END OF PERIOD</w:t>
            </w: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20,085</w:t>
            </w:r>
          </w:p>
        </w:tc>
      </w:tr>
      <w:tr>
        <w:trPr>
          <w:trHeight w:val="20"/>
        </w:trPr>
        <w:tc>
          <w:tcPr>
            <w:tcW w:w="9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968"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0"/>
        </w:trPr>
        <w:tc>
          <w:tcPr>
            <w:tcW w:w="9060" w:type="dxa"/>
            <w:vAlign w:val="bottom"/>
          </w:tcPr>
          <w:p>
            <w:pPr>
              <w:jc w:val="center"/>
              <w:ind w:left="2095"/>
              <w:spacing w:after="0"/>
              <w:rPr>
                <w:sz w:val="20"/>
                <w:szCs w:val="20"/>
                <w:color w:val="auto"/>
              </w:rPr>
            </w:pPr>
            <w:r>
              <w:rPr>
                <w:rFonts w:ascii="Times New Roman" w:cs="Times New Roman" w:eastAsia="Times New Roman" w:hAnsi="Times New Roman"/>
                <w:sz w:val="18"/>
                <w:szCs w:val="18"/>
                <w:b w:val="1"/>
                <w:bCs w:val="1"/>
                <w:color w:val="auto"/>
                <w:w w:val="99"/>
              </w:rPr>
              <w:t>ELLINGTON CREDIT COMPANY</w:t>
            </w:r>
          </w:p>
        </w:tc>
        <w:tc>
          <w:tcPr>
            <w:tcW w:w="2180" w:type="dxa"/>
            <w:vAlign w:val="bottom"/>
          </w:tcPr>
          <w:p>
            <w:pPr>
              <w:spacing w:after="0"/>
              <w:rPr>
                <w:sz w:val="19"/>
                <w:szCs w:val="19"/>
                <w:color w:val="auto"/>
              </w:rPr>
            </w:pPr>
          </w:p>
        </w:tc>
      </w:tr>
      <w:tr>
        <w:trPr>
          <w:trHeight w:val="229"/>
        </w:trPr>
        <w:tc>
          <w:tcPr>
            <w:tcW w:w="9060" w:type="dxa"/>
            <w:vAlign w:val="bottom"/>
          </w:tcPr>
          <w:p>
            <w:pPr>
              <w:jc w:val="center"/>
              <w:ind w:left="2095"/>
              <w:spacing w:after="0"/>
              <w:rPr>
                <w:sz w:val="20"/>
                <w:szCs w:val="20"/>
                <w:color w:val="auto"/>
              </w:rPr>
            </w:pPr>
            <w:r>
              <w:rPr>
                <w:rFonts w:ascii="Times New Roman" w:cs="Times New Roman" w:eastAsia="Times New Roman" w:hAnsi="Times New Roman"/>
                <w:sz w:val="18"/>
                <w:szCs w:val="18"/>
                <w:b w:val="1"/>
                <w:bCs w:val="1"/>
                <w:color w:val="auto"/>
                <w:w w:val="98"/>
              </w:rPr>
              <w:t>CONSOLIDATED STATEMENT OF CASH FLOWS</w:t>
            </w:r>
          </w:p>
        </w:tc>
        <w:tc>
          <w:tcPr>
            <w:tcW w:w="2180" w:type="dxa"/>
            <w:vAlign w:val="bottom"/>
          </w:tcPr>
          <w:p>
            <w:pPr>
              <w:spacing w:after="0"/>
              <w:rPr>
                <w:sz w:val="19"/>
                <w:szCs w:val="19"/>
                <w:color w:val="auto"/>
              </w:rPr>
            </w:pPr>
          </w:p>
        </w:tc>
      </w:tr>
      <w:tr>
        <w:trPr>
          <w:trHeight w:val="238"/>
        </w:trPr>
        <w:tc>
          <w:tcPr>
            <w:tcW w:w="9060" w:type="dxa"/>
            <w:vAlign w:val="bottom"/>
          </w:tcPr>
          <w:p>
            <w:pPr>
              <w:jc w:val="center"/>
              <w:ind w:left="2095"/>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180" w:type="dxa"/>
            <w:vAlign w:val="bottom"/>
          </w:tcPr>
          <w:p>
            <w:pPr>
              <w:spacing w:after="0"/>
              <w:rPr>
                <w:sz w:val="20"/>
                <w:szCs w:val="20"/>
                <w:color w:val="auto"/>
              </w:rPr>
            </w:pPr>
          </w:p>
        </w:tc>
      </w:tr>
      <w:tr>
        <w:trPr>
          <w:trHeight w:val="54"/>
        </w:trPr>
        <w:tc>
          <w:tcPr>
            <w:tcW w:w="906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r>
      <w:tr>
        <w:trPr>
          <w:trHeight w:val="210"/>
        </w:trPr>
        <w:tc>
          <w:tcPr>
            <w:tcW w:w="906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Six-Month</w:t>
            </w:r>
          </w:p>
        </w:tc>
      </w:tr>
      <w:tr>
        <w:trPr>
          <w:trHeight w:val="180"/>
        </w:trPr>
        <w:tc>
          <w:tcPr>
            <w:tcW w:w="9060" w:type="dxa"/>
            <w:vAlign w:val="bottom"/>
          </w:tcPr>
          <w:p>
            <w:pPr>
              <w:spacing w:after="0"/>
              <w:rPr>
                <w:sz w:val="15"/>
                <w:szCs w:val="15"/>
                <w:color w:val="auto"/>
              </w:rPr>
            </w:pPr>
          </w:p>
        </w:tc>
        <w:tc>
          <w:tcPr>
            <w:tcW w:w="21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Period Ended</w:t>
            </w:r>
          </w:p>
        </w:tc>
      </w:tr>
      <w:tr>
        <w:trPr>
          <w:trHeight w:val="238"/>
        </w:trPr>
        <w:tc>
          <w:tcPr>
            <w:tcW w:w="9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r>
      <w:tr>
        <w:trPr>
          <w:trHeight w:val="184"/>
        </w:trPr>
        <w:tc>
          <w:tcPr>
            <w:tcW w:w="906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(Expressed in U.S. Dollars)</w:t>
            </w:r>
          </w:p>
        </w:tc>
      </w:tr>
      <w:tr>
        <w:trPr>
          <w:trHeight w:val="234"/>
        </w:trPr>
        <w:tc>
          <w:tcPr>
            <w:tcW w:w="9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2180" w:type="dxa"/>
            <w:vAlign w:val="bottom"/>
          </w:tcPr>
          <w:p>
            <w:pPr>
              <w:spacing w:after="0"/>
              <w:rPr>
                <w:sz w:val="20"/>
                <w:szCs w:val="20"/>
                <w:color w:val="auto"/>
              </w:rPr>
            </w:pPr>
          </w:p>
        </w:tc>
      </w:tr>
      <w:tr>
        <w:trPr>
          <w:trHeight w:val="237"/>
        </w:trPr>
        <w:tc>
          <w:tcPr>
            <w:tcW w:w="9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paid</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r>
      <w:tr>
        <w:trPr>
          <w:trHeight w:val="229"/>
        </w:trPr>
        <w:tc>
          <w:tcPr>
            <w:tcW w:w="90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Distributions payable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r>
      <w:tr>
        <w:trPr>
          <w:trHeight w:val="229"/>
        </w:trPr>
        <w:tc>
          <w:tcPr>
            <w:tcW w:w="9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Value of shares issued in connection with dividend reinvestment plan (non-cash)</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90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Share based compensation (non-cash)</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bl>
    <w:p>
      <w:pPr>
        <w:spacing w:after="0" w:line="148"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return of capital on CLO equity investments from recurring cash flows and distributions from called deals.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968"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94"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Ellington Credit Company ("EARN") was initially formed as a real estate investment trust ("REIT") on August 2, 2012, and commenced operations on September 25, 2012. EARN conducts its business through its wholly owned subsidiaries, EARN OP GP LLC (the "General Partner"), and Ellington Credit Company LP (formerly Ellington Residential Mortgage LP) (the "Operating Partnership"), which were formed as a Delaware limited liability company and a Delaware limited partnership, respectively, on July 31, 2012 and commenced operations on September 25, 2012. The Operating Partnership conducts its business of acquiring, investing in, and managing targeted assets through its wholly owned subsidiaries. EARN, the General Partner, the Operating Partnership, and their consolidated subsidiaries are hereafter defined as the "Fund."</w:t>
      </w:r>
    </w:p>
    <w:p>
      <w:pPr>
        <w:spacing w:after="0" w:line="133"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On April 1, 2025, the Fund converted to a Delaware closed-end fund registered under the Investment Company Act of 1940, as amended (the "1940 Act") that intends to elect to be treated as a regulated investment company ("RIC"), (the "Conversion"). After the Conversion, the Fund is required to comply with the rules and regulations of the 1940 Act.</w:t>
      </w:r>
    </w:p>
    <w:p>
      <w:pPr>
        <w:spacing w:after="0" w:line="122" w:lineRule="exact"/>
        <w:rPr>
          <w:sz w:val="20"/>
          <w:szCs w:val="20"/>
          <w:color w:val="auto"/>
        </w:rPr>
      </w:pPr>
    </w:p>
    <w:p>
      <w:pPr>
        <w:ind w:right="380" w:firstLine="405"/>
        <w:spacing w:after="0" w:line="261" w:lineRule="auto"/>
        <w:rPr>
          <w:sz w:val="20"/>
          <w:szCs w:val="20"/>
          <w:color w:val="auto"/>
        </w:rPr>
      </w:pPr>
      <w:r>
        <w:rPr>
          <w:rFonts w:ascii="Times New Roman" w:cs="Times New Roman" w:eastAsia="Times New Roman" w:hAnsi="Times New Roman"/>
          <w:sz w:val="18"/>
          <w:szCs w:val="18"/>
          <w:color w:val="auto"/>
        </w:rPr>
        <w:t>The Fund is focused on acquiring and actively managing a portfolio of corporate CLOs, primarily mezzanine debt and equity tranches, which are typically collateralized by portfolios consisting primarily of below-investment-grade senior secured loans with a large number of discrete underlying borrowers across various industry sectors. Additionally, the Fund may also invest in CLO loan accumulation facilities, which are entities that acquire corporate loans and other similar corporate credit-related assets in anticipation of ultimately collateralizing a CLO transaction.</w:t>
      </w:r>
    </w:p>
    <w:p>
      <w:pPr>
        <w:spacing w:after="0" w:line="126"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The Fund is externally managed by Ellington Credit Company Management LLC (the "Adviser") which serves as the adviser of the Fund pursuant to the terms of an advisory agreement, as described in Note 8. The Adviser is an affiliate of Ellington Management Group, L.L.C. (“EMG”) an investment management firm that is an SEC-registered investment adviser with over three decades of experience in structured credit investing, portfolio construction and risk management. In accordance with the terms of the Advisory Agreement, Administration Agreement, and the Services Agreement (each as defined and described in Note 8), the Adviser and the Administrator are responsible for advising and administering, respectively, the Fund's business activities and day-to-day operations, and perform certain services, subject to oversight by the Fund’s Board of Trustees (the “Board”).</w:t>
      </w:r>
    </w:p>
    <w:p>
      <w:pPr>
        <w:spacing w:after="0" w:line="156"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92" w:lineRule="exact"/>
        <w:rPr>
          <w:rFonts w:ascii="Times New Roman" w:cs="Times New Roman" w:eastAsia="Times New Roman" w:hAnsi="Times New Roman"/>
          <w:sz w:val="18"/>
          <w:szCs w:val="18"/>
          <w:b w:val="1"/>
          <w:bCs w:val="1"/>
          <w:color w:val="auto"/>
        </w:rPr>
      </w:pPr>
    </w:p>
    <w:p>
      <w:pPr>
        <w:ind w:firstLine="413"/>
        <w:spacing w:after="0" w:line="254" w:lineRule="auto"/>
        <w:tabs>
          <w:tab w:leader="none" w:pos="680" w:val="left"/>
        </w:tabs>
        <w:numPr>
          <w:ilvl w:val="1"/>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The Fund's unaudited interim consolidated financial statements have been prepared in conformity with generally accepted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accounting principles in the United States of America, or "U.S. GAAP," for investment companies, ASC 946, </w:t>
      </w:r>
      <w:r>
        <w:rPr>
          <w:rFonts w:ascii="Times New Roman" w:cs="Times New Roman" w:eastAsia="Times New Roman" w:hAnsi="Times New Roman"/>
          <w:sz w:val="18"/>
          <w:szCs w:val="18"/>
          <w:i w:val="1"/>
          <w:iCs w:val="1"/>
          <w:color w:val="auto"/>
        </w:rPr>
        <w:t>Financial Services—Investment Companies</w:t>
      </w:r>
      <w:r>
        <w:rPr>
          <w:rFonts w:ascii="Times New Roman" w:cs="Times New Roman" w:eastAsia="Times New Roman" w:hAnsi="Times New Roman"/>
          <w:sz w:val="18"/>
          <w:szCs w:val="18"/>
          <w:color w:val="auto"/>
        </w:rPr>
        <w:t xml:space="preserve"> (“ASC 946”) and Regulation S-X. The Fund generally will not consolidate its interests in any company other than in its subsidiaries that qualify as investment companies under ASC 946. All inter-company balances and transactions have been eliminated. The preparation of consolidated financial statements in conformity with U.S. GAAP requires management to make estimates and assumptions that affect the reported amounts of assets and liabilities at the date of the consolidated financial statements and the reported amounts of revenues and expenses during the reporting period. Actual results could differ from those estimates and those differences could be material. In management's opinion, all material adjustments considered necessary for a fair statement of the Fund's consolidated financial statements have been included and are only of a normal recurring nature. Interim results are not necessarily indicative of the results that may be expected for the entire fiscal year.</w:t>
      </w:r>
    </w:p>
    <w:p>
      <w:pPr>
        <w:spacing w:after="0" w:line="136" w:lineRule="exact"/>
        <w:rPr>
          <w:sz w:val="20"/>
          <w:szCs w:val="20"/>
          <w:color w:val="auto"/>
        </w:rPr>
      </w:pPr>
    </w:p>
    <w:p>
      <w:pPr>
        <w:ind w:right="420" w:firstLine="729"/>
        <w:spacing w:after="0" w:line="282" w:lineRule="auto"/>
        <w:rPr>
          <w:sz w:val="20"/>
          <w:szCs w:val="20"/>
          <w:color w:val="auto"/>
        </w:rPr>
      </w:pPr>
      <w:r>
        <w:rPr>
          <w:rFonts w:ascii="Times New Roman" w:cs="Times New Roman" w:eastAsia="Times New Roman" w:hAnsi="Times New Roman"/>
          <w:sz w:val="18"/>
          <w:szCs w:val="18"/>
          <w:color w:val="auto"/>
        </w:rPr>
        <w:t>Effective April 1, 2025, upon the Conversion, the Fund adopted ASC 946 as required under the 1940 Act. The most significant changes as a result of the Fund’s change in accounting methodology are as follows:</w:t>
      </w:r>
    </w:p>
    <w:p>
      <w:pPr>
        <w:spacing w:after="0" w:line="27"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Consolidated Balance Sheet has been changed to a Statement of Assets and Liabilities;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Schedule of Investments has been added;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presentation of the Statement of Operations has been changed to conform to the requirements under ASC 946;</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 of Cash Flows has been changed and the section for investing activities has been removed;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footnotes to the financial statements have been added or removed to reflect conformity to requirements under ASC 946;</w:t>
      </w:r>
    </w:p>
    <w:p>
      <w:pPr>
        <w:spacing w:after="0" w:line="90"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sold under agreements to be repurchased at an agreed-upon price and date, which were formerly referred to as "repurchase agreements," are now referred to as "reverse repurchase agreements";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cost basis in each of its investments was adjusted to fair value as of the date of Conversion;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927" w:right="339" w:bottom="1440" w:gutter="0" w:footer="0" w:header="0"/>
        </w:sectPr>
      </w:pPr>
    </w:p>
    <w:bookmarkStart w:id="28" w:name="page29"/>
    <w:bookmarkEnd w:id="28"/>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highlights disclosures required under ASC 946 have been added.</w:t>
      </w:r>
    </w:p>
    <w:p>
      <w:pPr>
        <w:spacing w:after="0" w:line="169" w:lineRule="exact"/>
        <w:rPr>
          <w:rFonts w:ascii="Times New Roman" w:cs="Times New Roman" w:eastAsia="Times New Roman" w:hAnsi="Times New Roman"/>
          <w:sz w:val="18"/>
          <w:szCs w:val="18"/>
          <w:color w:val="auto"/>
        </w:rPr>
      </w:pPr>
    </w:p>
    <w:p>
      <w:pPr>
        <w:ind w:right="40" w:firstLine="413"/>
        <w:spacing w:after="0" w:line="256" w:lineRule="auto"/>
        <w:tabs>
          <w:tab w:leader="none" w:pos="680" w:val="left"/>
        </w:tabs>
        <w:numPr>
          <w:ilvl w:val="1"/>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Valuation: </w:t>
      </w:r>
      <w:r>
        <w:rPr>
          <w:rFonts w:ascii="Times New Roman" w:cs="Times New Roman" w:eastAsia="Times New Roman" w:hAnsi="Times New Roman"/>
          <w:sz w:val="18"/>
          <w:szCs w:val="18"/>
          <w:color w:val="auto"/>
        </w:rPr>
        <w:t>The Fund’s carries all of its investments at fair value in accordance with ASC 946. There is no single method for determining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in good faith. As a result, determining fair value requires that judgment be applied to the specific facts and circumstances of each investment while employing a consistently applied valuation process for the types of investments the Fund makes. Rule 2a-5 under the 1940 Act establishes requirements for determining fair value in good faith for purposes of the 1940 Act. Pursuant to Rule 2a-5, the Board has elected to designate the Adviser as the Fund’s “valuation designee” to perform fair value determinations in respect to the Fund’s assets and liabilities. The Adviser, subject to the Board’s oversight, determines the fair value of the Fund’s assets and liabilities in accordance with the terms of FASB Accounting Standards Codification Topic 820, Fair Value Measurement (“ASC 820”). The valuation procedures are set forth in more detail below.</w:t>
      </w:r>
    </w:p>
    <w:p>
      <w:pPr>
        <w:spacing w:after="0" w:line="129" w:lineRule="exact"/>
        <w:rPr>
          <w:sz w:val="20"/>
          <w:szCs w:val="20"/>
          <w:color w:val="auto"/>
        </w:rPr>
      </w:pPr>
    </w:p>
    <w:p>
      <w:pPr>
        <w:ind w:right="80" w:firstLine="405"/>
        <w:spacing w:after="0" w:line="267" w:lineRule="auto"/>
        <w:rPr>
          <w:sz w:val="20"/>
          <w:szCs w:val="20"/>
          <w:color w:val="auto"/>
        </w:rPr>
      </w:pPr>
      <w:r>
        <w:rPr>
          <w:rFonts w:ascii="Times New Roman" w:cs="Times New Roman" w:eastAsia="Times New Roman" w:hAnsi="Times New Roman"/>
          <w:sz w:val="18"/>
          <w:szCs w:val="18"/>
          <w:color w:val="auto"/>
        </w:rPr>
        <w:t xml:space="preserve">The Fund applies ASC 820-10,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820-10"), to its holdings of financial instruments. ASC 820-10 establishes a three-level valuation hierarchy for disclosure of fair value measurements. The valuation hierarchy is based upon the observability of inputs to the valuation of an asset or liability as of the measurement date. The three levels are defined as follows:</w:t>
      </w:r>
    </w:p>
    <w:p>
      <w:pPr>
        <w:spacing w:after="0" w:line="40" w:lineRule="exact"/>
        <w:rPr>
          <w:sz w:val="20"/>
          <w:szCs w:val="20"/>
          <w:color w:val="auto"/>
        </w:rPr>
      </w:pPr>
    </w:p>
    <w:p>
      <w:pPr>
        <w:ind w:left="660" w:right="4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1—inputs to the valuation methodology are observable and reflect quoted prices (unadjusted) for identical assets or liabilities in active markets. The types of financial instruments the Fund generally includes in this category are exchange-traded derivatives;</w:t>
      </w:r>
    </w:p>
    <w:p>
      <w:pPr>
        <w:spacing w:after="0" w:line="26"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to the valuation methodology other than quoted prices included in Level 1 are observable for the asset or liability, either directly or indirectly. The types of financial instruments that the Fund generally includes in this category are certain CLOs, and actively traded derivatives such as credit default swaps, or "CDS", foreign currency forwards, and other over-the-counter derivatives; and</w:t>
      </w:r>
    </w:p>
    <w:p>
      <w:pPr>
        <w:spacing w:after="0" w:line="40"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to the valuation methodology are unobservable and significant to the fair value measurement. Currently, this category generally includes certain CLOs, private corporate debt and equity investments, and certain CDS.</w:t>
      </w:r>
    </w:p>
    <w:p>
      <w:pPr>
        <w:spacing w:after="0" w:line="108"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For certain financial instruments, the various inputs that management uses to measure fair value may fall into different levels of the fair value hierarchy. For each such financial instrument, the determination of which category within the fair value hierarchy is appropriate is based on the lowest level of input that is significant to the fair value measurement. ASC 820 prioritizes the various inputs that management uses to measure fair value, with the highest priority given to inputs that are observable and reflect quoted prices (unadjusted) for identical assets or liabilities in active markets (Level 1), and the lowest priority given to inputs that are unobservable and significant to the fair value measurement (Level 3). The assessment of the significance of a particular input to the fair value measurement in its entirety requires judgment and considers factors specific to the financial instrument. The Fund may use valuation techniques consistent with the market and income approaches to measure the fair value of its assets and liabilities. The market approach uses third-party valuations and information obtained from market transactions involving identical or similar assets or liabilities. The income approach uses projections of the future economic benefits of an instrument to determine its fair value, such as in the discounted cash flow methodology. The inputs or methodology used for valuing financial instruments are not necessarily an indication of the risk associated with investing in these financial instruments. The leveling of each financial instrument is reassessed at the end of each period. Transfers between levels of the fair value hierarchy are assumed to occur at the end of the reporting period.</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Summary Valuation Techniques</w:t>
      </w:r>
    </w:p>
    <w:p>
      <w:pPr>
        <w:spacing w:after="0" w:line="92"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For financial instruments that are traded in an "active market," the best measure of fair value is the quoted market price. However, many of the Fund's financial instruments are not traded in an active market. Therefore, management generally uses third-party valuations when available. If third-party valuations are not available, management uses other valuation techniques, such as the discounted cash flow methodology. The following are summary descriptions, for the various categories of financial instruments, of the valuation methodologies management uses in determining fair value of the Fund's financial instruments in such categories. Management utilizes such methodologies to assign a fair value (the estimated price that, in an orderly transaction at the valuation date, would be received to sell an asset, or paid to transfer a liability, as the case may be) to each such financial instrument.</w:t>
      </w:r>
    </w:p>
    <w:p>
      <w:pPr>
        <w:spacing w:after="0" w:line="133"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For the Fund's investments in securities, management generally seeks to obtain at least one third-party valuation, and often obtains multiple valuations when available. The Adviser has been able to obtain third-party valuations on the majority of these instruments and expects to continue to solicit third-party valuations in the future. The Adviser generally values each financial instrument at the average of third-party valuations received and not rejected as described below. Third-party valuations are not binding; the Adviser may adjust the valuations it receives (e.g., downward adjustments for odd lots), and may challenge or reject a valuation when, based on its validation criteria, the Adviser determines that such valuation is unreasonable or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012" w:right="339" w:bottom="1440" w:gutter="0" w:footer="0" w:header="0"/>
        </w:sectPr>
      </w:pPr>
    </w:p>
    <w:bookmarkStart w:id="29" w:name="page30"/>
    <w:bookmarkEnd w:id="29"/>
    <w:p>
      <w:pPr>
        <w:spacing w:after="0" w:line="258" w:lineRule="auto"/>
        <w:rPr>
          <w:sz w:val="20"/>
          <w:szCs w:val="20"/>
          <w:color w:val="auto"/>
        </w:rPr>
      </w:pPr>
      <w:r>
        <w:rPr>
          <w:rFonts w:ascii="Times New Roman" w:cs="Times New Roman" w:eastAsia="Times New Roman" w:hAnsi="Times New Roman"/>
          <w:sz w:val="18"/>
          <w:szCs w:val="18"/>
          <w:color w:val="auto"/>
        </w:rPr>
        <w:t>erroneous. Furthermore, based on its validation criteria, the Adviser may determine that the average of the third-party valuations received for a given instrument does not result in what the Adviser believes to be the fair value of such instrument, and in such circumstances the Adviser may override this average with its own good faith valuation. The validation criteria may take into account output from EMG’s or third-party models, recent trading activity in the same or similar instruments, and valuations received from third parties. The use of proprietary models requires the use of a significant amount of judgment and the application of various assumptions including, but not limited to, assumptions concerning future prepayment rates and default rates.</w:t>
      </w:r>
    </w:p>
    <w:p>
      <w:pPr>
        <w:spacing w:after="0" w:line="129" w:lineRule="exact"/>
        <w:rPr>
          <w:sz w:val="20"/>
          <w:szCs w:val="20"/>
          <w:color w:val="auto"/>
        </w:rPr>
      </w:pPr>
    </w:p>
    <w:p>
      <w:pPr>
        <w:ind w:right="460" w:firstLine="405"/>
        <w:spacing w:after="0" w:line="266" w:lineRule="auto"/>
        <w:rPr>
          <w:sz w:val="20"/>
          <w:szCs w:val="20"/>
          <w:color w:val="auto"/>
        </w:rPr>
      </w:pPr>
      <w:r>
        <w:rPr>
          <w:rFonts w:ascii="Times New Roman" w:cs="Times New Roman" w:eastAsia="Times New Roman" w:hAnsi="Times New Roman"/>
          <w:sz w:val="18"/>
          <w:szCs w:val="18"/>
          <w:color w:val="auto"/>
        </w:rPr>
        <w:t>CLOs and corporate debt are generally classified as either Level 2 or Level 3 based on the analysis of available market data and/or third-party valuations. Furthermore, the methodology used by the third-party valuation providers is reviewed at least annually by management, so as to ascertain whether such providers are utilizing observable market data to determine the valuations that they provide.</w:t>
      </w:r>
    </w:p>
    <w:p>
      <w:pPr>
        <w:spacing w:after="0" w:line="122"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Interest rate swaps and foreign currency forwards are typically valued based on internal models that use observable market data, including applicable interest rates and foreign currency rates in effect as of the measurement date; the model-generated valuations are then typically compared to counterparty valuations for reasonableness; these financial derivatives are generally designated as Level 2 instruments.</w:t>
      </w:r>
    </w:p>
    <w:p>
      <w:pPr>
        <w:spacing w:after="0" w:line="122"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For financial derivatives with greater price transparency, such as CDS on corporate indices, market-standard pricing sources are used to obtain valuations; these financial derivatives are generally classified as Level 2.</w:t>
      </w:r>
    </w:p>
    <w:p>
      <w:pPr>
        <w:spacing w:after="0" w:line="108"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In valuing its derivatives, the Fund also considers the creditworthiness of both the Fund and its counterparties, along with collateral provisions contained in each derivative agreement.</w:t>
      </w:r>
    </w:p>
    <w:p>
      <w:pPr>
        <w:spacing w:after="0" w:line="108"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Fund's reverse repurchase agreements are carried at cost, which approximates fair value. Reverse repurchase agreements are classified as Level 2 assets and liabilities based on the adequacy of the collateral and their short term nature.</w:t>
      </w:r>
    </w:p>
    <w:p>
      <w:pPr>
        <w:spacing w:after="0" w:line="108"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Fund's valuation process, including the application of validation criteria, is directed by the Adviser's Valuation Committee ("Valuation Committee"). The Valuation Committee includes senior level executives from various departments within EMG, and each quarter the Valuation Committee reviews and approves the valuations of the Fund's investments. The valuation process also includes a monthly review by the Fund's third party sub-administrator. The goal of this review is to replicate various aspects of the Fund's valuation process based on the Fund's documented procedures.</w:t>
      </w:r>
    </w:p>
    <w:p>
      <w:pPr>
        <w:spacing w:after="0" w:line="126"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Because of the inherent uncertainty of valuation, the estimated fair value of the Fund's financial instruments may differ significantly from the values that would have been used had a ready market for the financial instruments existed, and the differences could be material to the consolidated financial statements.</w:t>
      </w:r>
    </w:p>
    <w:p>
      <w:pPr>
        <w:spacing w:after="0" w:line="120" w:lineRule="exact"/>
        <w:rPr>
          <w:sz w:val="20"/>
          <w:szCs w:val="20"/>
          <w:color w:val="auto"/>
        </w:rPr>
      </w:pPr>
    </w:p>
    <w:p>
      <w:pPr>
        <w:ind w:right="520" w:firstLine="413"/>
        <w:spacing w:after="0" w:line="284" w:lineRule="auto"/>
        <w:tabs>
          <w:tab w:leader="none" w:pos="69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Purchase and Sales of Investments: </w:t>
      </w:r>
      <w:r>
        <w:rPr>
          <w:rFonts w:ascii="Times New Roman" w:cs="Times New Roman" w:eastAsia="Times New Roman" w:hAnsi="Times New Roman"/>
          <w:sz w:val="18"/>
          <w:szCs w:val="18"/>
          <w:color w:val="auto"/>
        </w:rPr>
        <w:t>Purchases and sales of investments are recorded on trade date and realized and unrealized appreciation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are calculated based on identified cost.</w:t>
      </w:r>
    </w:p>
    <w:p>
      <w:pPr>
        <w:spacing w:after="0" w:line="104" w:lineRule="exact"/>
        <w:rPr>
          <w:rFonts w:ascii="Times New Roman" w:cs="Times New Roman" w:eastAsia="Times New Roman" w:hAnsi="Times New Roman"/>
          <w:sz w:val="18"/>
          <w:szCs w:val="18"/>
          <w:i w:val="1"/>
          <w:iCs w:val="1"/>
          <w:color w:val="auto"/>
        </w:rPr>
      </w:pPr>
    </w:p>
    <w:p>
      <w:pPr>
        <w:ind w:right="280" w:firstLine="413"/>
        <w:spacing w:after="0" w:line="267" w:lineRule="auto"/>
        <w:tabs>
          <w:tab w:leader="none" w:pos="70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Coupon interest income from CLO debt investments is accrued based on the outstanding principal balance and the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coupon rate to the extent such amounts are expected to be collected. Amortization of premium or accretion of discount is recognized using the effective interest method.</w:t>
      </w:r>
    </w:p>
    <w:p>
      <w:pPr>
        <w:spacing w:after="0" w:line="119" w:lineRule="exact"/>
        <w:rPr>
          <w:sz w:val="20"/>
          <w:szCs w:val="20"/>
          <w:color w:val="auto"/>
        </w:rPr>
      </w:pPr>
    </w:p>
    <w:p>
      <w:pPr>
        <w:ind w:right="120" w:firstLine="405"/>
        <w:spacing w:after="0" w:line="267" w:lineRule="auto"/>
        <w:rPr>
          <w:sz w:val="20"/>
          <w:szCs w:val="20"/>
          <w:color w:val="auto"/>
        </w:rPr>
      </w:pPr>
      <w:r>
        <w:rPr>
          <w:rFonts w:ascii="Times New Roman" w:cs="Times New Roman" w:eastAsia="Times New Roman" w:hAnsi="Times New Roman"/>
          <w:sz w:val="18"/>
          <w:szCs w:val="18"/>
          <w:color w:val="auto"/>
        </w:rPr>
        <w:t xml:space="preserve">Interest income from CLO equity investments is recognized using the effective interest method in accordance with ASC 325-40, </w:t>
      </w:r>
      <w:r>
        <w:rPr>
          <w:rFonts w:ascii="Times New Roman" w:cs="Times New Roman" w:eastAsia="Times New Roman" w:hAnsi="Times New Roman"/>
          <w:sz w:val="18"/>
          <w:szCs w:val="18"/>
          <w:i w:val="1"/>
          <w:iCs w:val="1"/>
          <w:color w:val="auto"/>
        </w:rPr>
        <w:t>Beneficial 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Securitized Financial Assets</w:t>
      </w:r>
      <w:r>
        <w:rPr>
          <w:rFonts w:ascii="Times New Roman" w:cs="Times New Roman" w:eastAsia="Times New Roman" w:hAnsi="Times New Roman"/>
          <w:sz w:val="18"/>
          <w:szCs w:val="18"/>
          <w:color w:val="auto"/>
        </w:rPr>
        <w:t>, based upon estimated cash flows, their expected timing, and expected redemption. Differences between cash distributed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amount calculated pursuant to the effective interest method is recorded as an adjustment to the amortized cost basis of the investment.</w:t>
      </w:r>
    </w:p>
    <w:p>
      <w:pPr>
        <w:spacing w:after="0" w:line="121"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In estimating future cash flows on the Fund's CLO debt and equity investments, there are a number of assumptions that are subject to significant uncertainties and contingencies; these estimates require the use of a significant amount of judgment. The Fund reviews the effective yield for each position at each measurement date and updates are made based upon the facts and circumstances known to the Fund. The Fund's accretion of discounts and amortization of premiums on securities for U.S. federal income tax and other tax purposes is likely to differ from the accounting treatment under U.S. GAAP of these items as described above.</w:t>
      </w:r>
    </w:p>
    <w:p>
      <w:pPr>
        <w:spacing w:after="0" w:line="127" w:lineRule="exact"/>
        <w:rPr>
          <w:sz w:val="20"/>
          <w:szCs w:val="20"/>
          <w:color w:val="auto"/>
        </w:rPr>
      </w:pPr>
    </w:p>
    <w:p>
      <w:pPr>
        <w:jc w:val="both"/>
        <w:ind w:right="340" w:firstLine="413"/>
        <w:spacing w:after="0" w:line="267" w:lineRule="auto"/>
        <w:tabs>
          <w:tab w:leader="none" w:pos="68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In connection with certain of the Fund's CLO equity investments, the Fund receives distributions from fee letters associated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CLO equity positions. Distributions from such fee letters are generally based upon a percentage of the collateral manager's fees. Income from fee letters is included in Other income, on the Consolidated Statement of Operations.</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00"/>
          </w:cols>
          <w:pgMar w:left="320" w:top="1093" w:right="379" w:bottom="1440" w:gutter="0" w:footer="0" w:header="0"/>
        </w:sectPr>
      </w:pPr>
    </w:p>
    <w:bookmarkStart w:id="30" w:name="page31"/>
    <w:bookmarkEnd w:id="30"/>
    <w:p>
      <w:pPr>
        <w:jc w:val="both"/>
        <w:ind w:firstLine="413"/>
        <w:spacing w:after="0" w:line="267" w:lineRule="auto"/>
        <w:tabs>
          <w:tab w:leader="none" w:pos="68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Cash and cash equivalents include cash and short term investments with original maturities of three months or less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date of acquisition. Cash and cash equivalents typically include amounts held in interest bearing overnight accounts and amounts held in money market funds, and these balances generally exceed insured limits. The Fund holds its cash at institutions that it believes to be highly creditworthy.</w:t>
      </w:r>
    </w:p>
    <w:p>
      <w:pPr>
        <w:spacing w:after="0" w:line="119" w:lineRule="exact"/>
        <w:rPr>
          <w:rFonts w:ascii="Times New Roman" w:cs="Times New Roman" w:eastAsia="Times New Roman" w:hAnsi="Times New Roman"/>
          <w:sz w:val="18"/>
          <w:szCs w:val="18"/>
          <w:i w:val="1"/>
          <w:iCs w:val="1"/>
          <w:color w:val="auto"/>
        </w:rPr>
      </w:pPr>
    </w:p>
    <w:p>
      <w:pPr>
        <w:ind w:right="20" w:firstLine="413"/>
        <w:spacing w:after="0" w:line="267" w:lineRule="auto"/>
        <w:tabs>
          <w:tab w:leader="none" w:pos="70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Due from brokers/Due to brokers: </w:t>
      </w:r>
      <w:r>
        <w:rPr>
          <w:rFonts w:ascii="Times New Roman" w:cs="Times New Roman" w:eastAsia="Times New Roman" w:hAnsi="Times New Roman"/>
          <w:sz w:val="18"/>
          <w:szCs w:val="18"/>
          <w:color w:val="auto"/>
        </w:rPr>
        <w:t>Due from brokers and Due to brokers accounts on the Consolidated Statement of Assets and Liabilities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 transferred to or received from counterparties, including clearinghouses, along with receivables and payables for open and/or closed derivative positions.</w:t>
      </w:r>
    </w:p>
    <w:p>
      <w:pPr>
        <w:spacing w:after="0" w:line="119" w:lineRule="exact"/>
        <w:rPr>
          <w:rFonts w:ascii="Times New Roman" w:cs="Times New Roman" w:eastAsia="Times New Roman" w:hAnsi="Times New Roman"/>
          <w:sz w:val="18"/>
          <w:szCs w:val="18"/>
          <w:i w:val="1"/>
          <w:iCs w:val="1"/>
          <w:color w:val="auto"/>
        </w:rPr>
      </w:pPr>
    </w:p>
    <w:p>
      <w:pPr>
        <w:ind w:right="40" w:firstLine="413"/>
        <w:spacing w:after="0" w:line="254" w:lineRule="auto"/>
        <w:tabs>
          <w:tab w:leader="none" w:pos="70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Financial Derivatives: </w:t>
      </w:r>
      <w:r>
        <w:rPr>
          <w:rFonts w:ascii="Times New Roman" w:cs="Times New Roman" w:eastAsia="Times New Roman" w:hAnsi="Times New Roman"/>
          <w:sz w:val="18"/>
          <w:szCs w:val="18"/>
          <w:color w:val="auto"/>
        </w:rPr>
        <w:t>The Fund enters into various types of financial derivatives subject to its investment guidelines. The Fund's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derivatives are predominantly subject to bilateral master trade agreements or clearing in accordance with the Dodd-Frank Wall Street Reform and Consumer Protection Act of 2010. The Fund may be required to deliver or may receive cash or securities as collateral upon entering into derivative transactions. In addition, changes in the relative value of financial derivative transactions may require the Fund or the counterparty to post or receive additional collateral. In the case of cleared financial derivatives, the clearinghouse becomes the Fund's counterparty and a futures commission merchant acts as intermediary between the Fund and the clearinghouse with respect to all facets of the related transaction, including the posting and receipt of required collateral. Collateral received by the Fund is reflected on the Consolidated Statement of Assets and Liabilities as "Due to Brokers." Conversely, collateral posted by the Fund is reflected as "Due from Brokers" on the Consolidated Statement of Assets and Liabilities. The types of financial derivatives that have been utilized by the Fund to date primarily include interest rate swaps, credit default swaps, forwards, and futures.</w:t>
      </w:r>
    </w:p>
    <w:p>
      <w:pPr>
        <w:spacing w:after="0" w:line="134" w:lineRule="exact"/>
        <w:rPr>
          <w:sz w:val="20"/>
          <w:szCs w:val="20"/>
          <w:color w:val="auto"/>
        </w:rPr>
      </w:pPr>
    </w:p>
    <w:p>
      <w:pPr>
        <w:ind w:right="12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Swaps: </w:t>
      </w:r>
      <w:r>
        <w:rPr>
          <w:rFonts w:ascii="Times New Roman" w:cs="Times New Roman" w:eastAsia="Times New Roman" w:hAnsi="Times New Roman"/>
          <w:sz w:val="18"/>
          <w:szCs w:val="18"/>
          <w:color w:val="auto"/>
        </w:rPr>
        <w:t>The Fund enters into various types of swaps including credit default swaps and interest rate swaps. The primary risk associated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Fund's credit default swaps is credit risk. The primary risk associated with the Fund's interest rate swap activity is interest rate risk. The Fund is subject to credit and interest rate risk exposure in the normal course of pursuing its investment objectives.</w:t>
      </w:r>
    </w:p>
    <w:p>
      <w:pPr>
        <w:spacing w:after="0" w:line="12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 credit default swap is a contract under which one party agrees to compensate another party for the financial loss associated with the occurrence of a "credit event" in relation to a "reference amount" or notional value of a "reference asset" (usually a bond or an index or basket of bonds). The definition of a credit event may vary from contract to contract. A credit event may occur (i) when the reference asset (or underlying asset, in the case of a reference asset that is an index or basket) fails to make scheduled principal or interest payments to its holders, (ii) with respect to credit default swaps referencing asset-backed securities and indices, when the reference asset (or underlying asset, in the case of a reference asset that is an index or basket) is downgraded below a certain rating level, or (iii) with respect to credit default swaps referencing corporate entities and indices, upon an event of default of the obligor of the reference asset (or underlying obligor, in the case of a reference asset that is an index).</w:t>
      </w:r>
    </w:p>
    <w:p>
      <w:pPr>
        <w:spacing w:after="0" w:line="135"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Interest rate swaps are contractual agreements whereby one party pays a floating interest rate on a notional principal amount and receives a fixed-rate payment on the same notional principal, or vice versa, for a fixed period of time.</w:t>
      </w:r>
    </w:p>
    <w:p>
      <w:pPr>
        <w:spacing w:after="0" w:line="10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Swaps change in value with movements in interest rates or total return of the reference securities. During the term of swap contracts, changes in value are recognized as unrealized appreciation or depreciation on the Consolidated Statement of Operations. When a contract is terminated, the Fund realizes a gain or loss equal to the difference between the proceeds from (or cost of) the closing transaction and the Fund's basis in the contract, if any. Periodic payments or receipts required by swap agreements are recorded as unrealized appreciation or depreciation when accrued and realized appreciation or depreciation when received or paid. Upfront payments paid and/or received by the Fund to open swap contracts are recorded as an asset and/or liability on the Consolidated Statement of Assets and Liabilities and are recorded as a realized gain or loss on the termination date.</w:t>
      </w:r>
    </w:p>
    <w:p>
      <w:pPr>
        <w:spacing w:after="0" w:line="131"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Futures Contracts</w:t>
      </w:r>
      <w:r>
        <w:rPr>
          <w:rFonts w:ascii="Times New Roman" w:cs="Times New Roman" w:eastAsia="Times New Roman" w:hAnsi="Times New Roman"/>
          <w:sz w:val="18"/>
          <w:szCs w:val="18"/>
          <w:color w:val="auto"/>
        </w:rPr>
        <w:t>: The Fund enters into futures contract, typically U.S. Treasury futures contracts. A futures contract is an exchange-traded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to buy or sell an asset for a set price on a future date. Initial margin deposits are made upon entering into futures contracts and can be either in the form of cash or securities. During the period the futures contract is open, changes in the value of the contract are recognized as unrealized appreciation or depreciation by marking-to-market to reflect the current market value of the contract. Unrealized gains or (losses) are included in Change in net unrealized appreciation (depreciation) on financial derivatives in the Consolidated Statement of Operations. Variation margin payments are made or received periodically, depending upon whether unrealized losses or gains are incurred. When the contract is closed, the Fund records a realized gain or loss equal to the difference between the proceeds of the closing transaction and the Fund's basis in the contract. Realized gains or (losses) are included in Net realized appreciation (depreciation) on financial derivatives on the Consolidated Statement of Operations.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00"/>
          </w:cols>
          <w:pgMar w:left="320" w:top="1091" w:right="379" w:bottom="1440" w:gutter="0" w:footer="0" w:header="0"/>
        </w:sectPr>
      </w:pPr>
    </w:p>
    <w:bookmarkStart w:id="31" w:name="page32"/>
    <w:bookmarkEnd w:id="31"/>
    <w:p>
      <w:pPr>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Forward Currency Contracts</w:t>
      </w:r>
      <w:r>
        <w:rPr>
          <w:rFonts w:ascii="Times New Roman" w:cs="Times New Roman" w:eastAsia="Times New Roman" w:hAnsi="Times New Roman"/>
          <w:sz w:val="18"/>
          <w:szCs w:val="18"/>
          <w:color w:val="auto"/>
        </w:rPr>
        <w:t>: A forward currency contract is an agreement between two parties to purchase or sell a specific quantity of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delivery and settlement at a specific future date and exchange rate. During the period the forward currency contract is open, changes in the value of the contract are recognized as unrealized gains or losses. When the contract is settled, the Fund records a realized gain or loss equal to the difference between the proceeds of the closing transaction and the Fund's basis in the contract.</w:t>
      </w:r>
    </w:p>
    <w:p>
      <w:pPr>
        <w:spacing w:after="0" w:line="128"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Financial derivative assets are included in Financial derivatives–assets, at fair value on the Consolidated Statement of Assets and Liabilities while financial derivative liabilities are included in Financial derivatives–liabilities, at fair value on the Consolidated Statement of Assets and Liabilities.</w:t>
      </w:r>
    </w:p>
    <w:p>
      <w:pPr>
        <w:spacing w:after="0" w:line="106" w:lineRule="exact"/>
        <w:rPr>
          <w:sz w:val="20"/>
          <w:szCs w:val="20"/>
          <w:color w:val="auto"/>
        </w:rPr>
      </w:pPr>
    </w:p>
    <w:p>
      <w:pPr>
        <w:ind w:right="20" w:firstLine="413"/>
        <w:spacing w:after="0" w:line="255" w:lineRule="auto"/>
        <w:tabs>
          <w:tab w:leader="none" w:pos="63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Reverse Repurchase Agreements: </w:t>
      </w:r>
      <w:r>
        <w:rPr>
          <w:rFonts w:ascii="Times New Roman" w:cs="Times New Roman" w:eastAsia="Times New Roman" w:hAnsi="Times New Roman"/>
          <w:sz w:val="18"/>
          <w:szCs w:val="18"/>
          <w:color w:val="auto"/>
        </w:rPr>
        <w:t>The Fund enters into reverse repurchase agreements with third-party broker-dealers, whereby it sells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agreements to repurchase at an agreed upon price and date. The Fund accounts for reverse repurchase agreements as collateralized borrowings, with the initial sale price representing the amount borrowed, and with the future repurchase price consisting of the amount borrowed plus interest, at the implied interest rate of the reverse repurchase agreement, on the amount borrowed over the term of the reverse repurchase agreement. The interest rate on a reverse repurchase agreement is based on competitive market rates (or competitive market spreads, in the case of agreements with floating interest rates) at the time such agreement is entered into. When the Fund enters into a reverse repurchase agreement, the lender establishes and maintains an account containing cash and/or securities having a value not less than the repurchase price, including accrued interest, of the reverse repurchase agreement. Reverse repurchase agreements are carried at their contractual amounts, which approximate fair value due to their short-term nature.</w:t>
      </w:r>
    </w:p>
    <w:p>
      <w:pPr>
        <w:spacing w:after="0" w:line="130" w:lineRule="exact"/>
        <w:rPr>
          <w:rFonts w:ascii="Times New Roman" w:cs="Times New Roman" w:eastAsia="Times New Roman" w:hAnsi="Times New Roman"/>
          <w:sz w:val="18"/>
          <w:szCs w:val="18"/>
          <w:i w:val="1"/>
          <w:iCs w:val="1"/>
          <w:color w:val="auto"/>
        </w:rPr>
      </w:pPr>
    </w:p>
    <w:p>
      <w:pPr>
        <w:jc w:val="both"/>
        <w:ind w:right="160" w:firstLine="413"/>
        <w:spacing w:after="0" w:line="267" w:lineRule="auto"/>
        <w:tabs>
          <w:tab w:leader="none" w:pos="65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Offering Costs/Deferred Offering Costs/Underwriters' Discounts: </w:t>
      </w:r>
      <w:r>
        <w:rPr>
          <w:rFonts w:ascii="Times New Roman" w:cs="Times New Roman" w:eastAsia="Times New Roman" w:hAnsi="Times New Roman"/>
          <w:sz w:val="18"/>
          <w:szCs w:val="18"/>
          <w:color w:val="auto"/>
        </w:rPr>
        <w:t>Offering costs, underwriters' discounts and commissions and fees, are charged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shareholders' equity within Additional paid-in-capital. Offering costs typically include legal, accounting, and other fees associated with the cost of raising equity capital.</w:t>
      </w:r>
    </w:p>
    <w:p>
      <w:pPr>
        <w:spacing w:after="0" w:line="119" w:lineRule="exact"/>
        <w:rPr>
          <w:rFonts w:ascii="Times New Roman" w:cs="Times New Roman" w:eastAsia="Times New Roman" w:hAnsi="Times New Roman"/>
          <w:sz w:val="18"/>
          <w:szCs w:val="18"/>
          <w:i w:val="1"/>
          <w:iCs w:val="1"/>
          <w:color w:val="auto"/>
        </w:rPr>
      </w:pPr>
    </w:p>
    <w:p>
      <w:pPr>
        <w:ind w:left="700" w:hanging="287"/>
        <w:spacing w:after="0"/>
        <w:tabs>
          <w:tab w:leader="none" w:pos="70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Distributions: </w:t>
      </w:r>
      <w:r>
        <w:rPr>
          <w:rFonts w:ascii="Times New Roman" w:cs="Times New Roman" w:eastAsia="Times New Roman" w:hAnsi="Times New Roman"/>
          <w:sz w:val="18"/>
          <w:szCs w:val="18"/>
          <w:color w:val="auto"/>
        </w:rPr>
        <w:t>Distributions on our common shares are recorded on the ex-date.</w:t>
      </w:r>
    </w:p>
    <w:p>
      <w:pPr>
        <w:spacing w:after="0" w:line="173"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Fund has a dividend reinvestment plan (the “DRIP”) under which the Fund’s distributions on common shares, net of any applicable U.S. withholding tax, are reinvested in additional shares of the same class of shares of the Fund as the respective dividend declared. Shareholders automatically participate in the DRIP unless they opt out; shareholders who opt out will receive dividends in cash.</w:t>
      </w:r>
    </w:p>
    <w:p>
      <w:pPr>
        <w:spacing w:after="0" w:line="122" w:lineRule="exact"/>
        <w:rPr>
          <w:sz w:val="20"/>
          <w:szCs w:val="20"/>
          <w:color w:val="auto"/>
        </w:rPr>
      </w:pPr>
    </w:p>
    <w:p>
      <w:pPr>
        <w:ind w:right="260" w:firstLine="405"/>
        <w:spacing w:after="0" w:line="258" w:lineRule="auto"/>
        <w:rPr>
          <w:sz w:val="20"/>
          <w:szCs w:val="20"/>
          <w:color w:val="auto"/>
        </w:rPr>
      </w:pPr>
      <w:r>
        <w:rPr>
          <w:rFonts w:ascii="Times New Roman" w:cs="Times New Roman" w:eastAsia="Times New Roman" w:hAnsi="Times New Roman"/>
          <w:sz w:val="18"/>
          <w:szCs w:val="18"/>
          <w:color w:val="auto"/>
        </w:rPr>
        <w:t>Under the DRIP, whenever the Fund declares a distribution on its common shares, such distributions would be reinvested in newly issued shares of the Fund at a price per share equal to 95% of the market price per share at the close of regular trading on the NYSE on the payment date of such distribution (or, if no sale is reported that day, the average of the last bid and ask prices reported by the NYSE). While the Fund plans to generally issue new shares for DRIP purposes, the Board reserves the right to authorize the purchase of common shares in the open market in connection with the implementation of the DRIP.</w:t>
      </w:r>
    </w:p>
    <w:p>
      <w:pPr>
        <w:spacing w:after="0" w:line="127" w:lineRule="exact"/>
        <w:rPr>
          <w:sz w:val="20"/>
          <w:szCs w:val="20"/>
          <w:color w:val="auto"/>
        </w:rPr>
      </w:pPr>
    </w:p>
    <w:p>
      <w:pPr>
        <w:ind w:left="680" w:hanging="267"/>
        <w:spacing w:after="0"/>
        <w:tabs>
          <w:tab w:leader="none" w:pos="680" w:val="left"/>
        </w:tabs>
        <w:numPr>
          <w:ilvl w:val="1"/>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Expenses: </w:t>
      </w:r>
      <w:r>
        <w:rPr>
          <w:rFonts w:ascii="Times New Roman" w:cs="Times New Roman" w:eastAsia="Times New Roman" w:hAnsi="Times New Roman"/>
          <w:sz w:val="18"/>
          <w:szCs w:val="18"/>
          <w:color w:val="auto"/>
        </w:rPr>
        <w:t>Expenses are recognized as incurred on the Consolidated Statement of Operations.</w:t>
      </w:r>
    </w:p>
    <w:p>
      <w:pPr>
        <w:spacing w:after="0" w:line="171" w:lineRule="exact"/>
        <w:rPr>
          <w:rFonts w:ascii="Times New Roman" w:cs="Times New Roman" w:eastAsia="Times New Roman" w:hAnsi="Times New Roman"/>
          <w:sz w:val="18"/>
          <w:szCs w:val="18"/>
          <w:i w:val="1"/>
          <w:iCs w:val="1"/>
          <w:color w:val="auto"/>
        </w:rPr>
      </w:pPr>
    </w:p>
    <w:p>
      <w:pPr>
        <w:ind w:right="120" w:firstLine="413"/>
        <w:spacing w:after="0" w:line="262" w:lineRule="auto"/>
        <w:tabs>
          <w:tab w:leader="none" w:pos="720" w:val="left"/>
        </w:tabs>
        <w:numPr>
          <w:ilvl w:val="1"/>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Foreign Currency</w:t>
      </w:r>
      <w:r>
        <w:rPr>
          <w:rFonts w:ascii="Times New Roman" w:cs="Times New Roman" w:eastAsia="Times New Roman" w:hAnsi="Times New Roman"/>
          <w:sz w:val="18"/>
          <w:szCs w:val="18"/>
          <w:color w:val="auto"/>
        </w:rPr>
        <w:t>: The functional currency of the Fund is U.S. dollars. Assets and liabilities denominated in foreign currencies are remeasured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U.S. dollars at current exchange rates at the following dates: (i) assets, liabilities, and unrealized appreciation/depreciation—at the valuation date; and</w:t>
      </w:r>
    </w:p>
    <w:p>
      <w:pPr>
        <w:ind w:right="200" w:firstLine="8"/>
        <w:spacing w:after="0" w:line="252" w:lineRule="auto"/>
        <w:tabs>
          <w:tab w:leader="none" w:pos="2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expenses, and realized appreciation/depreciation—at the accrual/transaction date. For investments and financial derivatives denominated in a foreign currency, the Fund isolates the portion of realized and change in unrealized appreciation (depreciation) resulting from changes in the foreign currency exchange rate from the fluctuations arising from changes in fair value (as measured in such foreign currency). Changes in realized appreciation (depreciation) due to foreign currency and change in unrealized appreciation (depreciation) due to foreign currency are included in Net realized appreciation (depreciation) on foreign currency transactions and Change in net unrealized appreciation (depreciation) on foreign currency transactions, respectively, on the Consolidated Statement of Operations.</w:t>
      </w:r>
    </w:p>
    <w:p>
      <w:pPr>
        <w:spacing w:after="0" w:line="133" w:lineRule="exact"/>
        <w:rPr>
          <w:rFonts w:ascii="Times New Roman" w:cs="Times New Roman" w:eastAsia="Times New Roman" w:hAnsi="Times New Roman"/>
          <w:sz w:val="18"/>
          <w:szCs w:val="18"/>
          <w:color w:val="auto"/>
        </w:rPr>
      </w:pPr>
    </w:p>
    <w:p>
      <w:pPr>
        <w:ind w:right="600" w:firstLine="413"/>
        <w:spacing w:after="0" w:line="267" w:lineRule="auto"/>
        <w:tabs>
          <w:tab w:leader="none" w:pos="690" w:val="left"/>
        </w:tabs>
        <w:numPr>
          <w:ilvl w:val="1"/>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Share Repurchases: </w:t>
      </w:r>
      <w:r>
        <w:rPr>
          <w:rFonts w:ascii="Times New Roman" w:cs="Times New Roman" w:eastAsia="Times New Roman" w:hAnsi="Times New Roman"/>
          <w:sz w:val="18"/>
          <w:szCs w:val="18"/>
          <w:color w:val="auto"/>
        </w:rPr>
        <w:t>Common shares that are repurchased by the Fund subsequent to issuance are immediately retired upon settlement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the total number of shares issued and outstanding. The cost of such share repurchases is charged against Paid-in-capital on the Fund's Consolidated Statement of Assets and Liabilities.</w:t>
      </w:r>
    </w:p>
    <w:p>
      <w:pPr>
        <w:spacing w:after="0" w:line="119" w:lineRule="exact"/>
        <w:rPr>
          <w:rFonts w:ascii="Times New Roman" w:cs="Times New Roman" w:eastAsia="Times New Roman" w:hAnsi="Times New Roman"/>
          <w:sz w:val="18"/>
          <w:szCs w:val="18"/>
          <w:i w:val="1"/>
          <w:iCs w:val="1"/>
          <w:color w:val="auto"/>
        </w:rPr>
      </w:pPr>
    </w:p>
    <w:p>
      <w:pPr>
        <w:ind w:firstLine="413"/>
        <w:spacing w:after="0" w:line="257" w:lineRule="auto"/>
        <w:tabs>
          <w:tab w:leader="none" w:pos="700" w:val="left"/>
        </w:tabs>
        <w:numPr>
          <w:ilvl w:val="1"/>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Fund intends to operate in a manner to qualify to be taxed as a RIC under subchapter M of the Internal Revenue Code of 1986,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amended (the "Code"), and not to be subject to federal income tax on the portions of its taxable income and capital gains that are distributed to shareholders. To qualify as a RIC, the Fund must meet certain requirements, including: (i) registering as an investment company under the 1940 Act and filing tax Form 1120-RIC; (ii) at least 90% of the Fund’s gross income must be from qualifying income sources; (iii) at least 50% of the Fund’s assets must be in cash, government securities, or other securities meeting diversification thresholds; (iv) no more than 25% of the Fund’s total assets may be invested in securities of a single issuer or two or more issuers engaged in the same trade or business; and (v) at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091" w:right="339" w:bottom="1440" w:gutter="0" w:footer="0" w:header="0"/>
        </w:sectPr>
      </w:pPr>
    </w:p>
    <w:bookmarkStart w:id="32" w:name="page33"/>
    <w:bookmarkEnd w:id="32"/>
    <w:p>
      <w:pPr>
        <w:ind w:right="260"/>
        <w:spacing w:after="0" w:line="266" w:lineRule="auto"/>
        <w:rPr>
          <w:sz w:val="20"/>
          <w:szCs w:val="20"/>
          <w:color w:val="auto"/>
        </w:rPr>
      </w:pPr>
      <w:r>
        <w:rPr>
          <w:rFonts w:ascii="Times New Roman" w:cs="Times New Roman" w:eastAsia="Times New Roman" w:hAnsi="Times New Roman"/>
          <w:sz w:val="18"/>
          <w:szCs w:val="18"/>
          <w:color w:val="auto"/>
        </w:rPr>
        <w:t>least 90% of the Fund’s taxable income, excluding net capital gains and exempt-interest, must be distributed annually to shareholders. Distributions declared in October, November, and December of any calendar year, and paid on or prior to January 31st of the following year, are generally included in such tax reporting to the recipient in the year declared.</w:t>
      </w:r>
    </w:p>
    <w:p>
      <w:pPr>
        <w:spacing w:after="0" w:line="122"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In addition, based on the excise distribution requirements, the Fund is subject to a 4% nondeductible federal excise tax on undistributed income unless the Fund distributes, in a timely manner, an amount at least equal to the sum of (i) 98% of its ordinary income for each calendar year, (ii) 98.2% of capital gain net income (both long-term and short-term) for the one-year period ending October 31 in such calendar year and (iii) any income realized, but not distributed, in the preceding year. The Fund expects to make sufficient distributions each taxable year to satisfy the excise distribution requirements.</w:t>
      </w:r>
    </w:p>
    <w:p>
      <w:pPr>
        <w:spacing w:after="0" w:line="126" w:lineRule="exact"/>
        <w:rPr>
          <w:sz w:val="20"/>
          <w:szCs w:val="20"/>
          <w:color w:val="auto"/>
        </w:rPr>
      </w:pPr>
    </w:p>
    <w:p>
      <w:pPr>
        <w:ind w:right="760" w:firstLine="405"/>
        <w:spacing w:after="0" w:line="282" w:lineRule="auto"/>
        <w:rPr>
          <w:sz w:val="20"/>
          <w:szCs w:val="20"/>
          <w:color w:val="auto"/>
        </w:rPr>
      </w:pPr>
      <w:r>
        <w:rPr>
          <w:rFonts w:ascii="Times New Roman" w:cs="Times New Roman" w:eastAsia="Times New Roman" w:hAnsi="Times New Roman"/>
          <w:sz w:val="18"/>
          <w:szCs w:val="18"/>
          <w:color w:val="auto"/>
        </w:rPr>
        <w:t>U.S. federal income tax regulations differ from U.S. GAAP, and the calculation of ordinary income and capital gains in accordance with tax regulations may differ from net investment income and realized gains recognized for financial reporting purposes.</w:t>
      </w:r>
    </w:p>
    <w:p>
      <w:pPr>
        <w:spacing w:after="0" w:line="108" w:lineRule="exact"/>
        <w:rPr>
          <w:sz w:val="20"/>
          <w:szCs w:val="20"/>
          <w:color w:val="auto"/>
        </w:rPr>
      </w:pPr>
    </w:p>
    <w:p>
      <w:pPr>
        <w:ind w:right="1640" w:firstLine="405"/>
        <w:spacing w:after="0" w:line="282" w:lineRule="auto"/>
        <w:rPr>
          <w:sz w:val="20"/>
          <w:szCs w:val="20"/>
          <w:color w:val="auto"/>
        </w:rPr>
      </w:pPr>
      <w:r>
        <w:rPr>
          <w:rFonts w:ascii="Times New Roman" w:cs="Times New Roman" w:eastAsia="Times New Roman" w:hAnsi="Times New Roman"/>
          <w:sz w:val="18"/>
          <w:szCs w:val="18"/>
          <w:color w:val="auto"/>
        </w:rPr>
        <w:t>The Fund has elected mark-to-market treatment under Section 475(f) of the Code and does not have any material net unrealized appreciation/depreciation on its assets or liabilities carried at fair value.</w:t>
      </w:r>
    </w:p>
    <w:p>
      <w:pPr>
        <w:spacing w:after="0" w:line="108"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The characterization of distributions paid to common shareholders from net investment income and capital gains are determined in accordance with U.S. federal income tax regulations, which differ from U.S. GAAP. Generally for U.S. federal income tax purposes distributions to shareholders will be taxable as ordinary income, although a portion of such distributions may be designated as long-term capital gain or qualified dividend income, or may constitute a return of capital.</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As of September 30, 2025, the Fund has not recorded a liability for uncertain tax positions pursuant to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40" w:firstLine="413"/>
        <w:spacing w:after="0" w:line="258" w:lineRule="auto"/>
        <w:tabs>
          <w:tab w:leader="none" w:pos="68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Segment Reporting: </w:t>
      </w:r>
      <w:r>
        <w:rPr>
          <w:rFonts w:ascii="Times New Roman" w:cs="Times New Roman" w:eastAsia="Times New Roman" w:hAnsi="Times New Roman"/>
          <w:sz w:val="18"/>
          <w:szCs w:val="18"/>
          <w:color w:val="auto"/>
        </w:rPr>
        <w:t>An operating segment is defined as a component of an entity that (i) engages in business activities from which revenues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and expenses incurred, (ii) has discrete financial information available, and (iii) is evaluated on a regular basis by the Chief Operating Decision Maker (the "CODM") for decision-making purposes, including investment and operating decisions, including capital and resource allocation decisions; and communicates results, strategy, and other relevant information to the Board and shareholders. The Fund's CODM is, collectively, its Chief Executive Officer and President and its Portfolio Managers.</w:t>
      </w:r>
    </w:p>
    <w:p>
      <w:pPr>
        <w:spacing w:after="0" w:line="131" w:lineRule="exact"/>
        <w:rPr>
          <w:sz w:val="20"/>
          <w:szCs w:val="20"/>
          <w:color w:val="auto"/>
        </w:rPr>
      </w:pPr>
    </w:p>
    <w:p>
      <w:pPr>
        <w:ind w:right="300" w:firstLine="405"/>
        <w:spacing w:after="0" w:line="261" w:lineRule="auto"/>
        <w:rPr>
          <w:sz w:val="20"/>
          <w:szCs w:val="20"/>
          <w:color w:val="auto"/>
        </w:rPr>
      </w:pPr>
      <w:r>
        <w:rPr>
          <w:rFonts w:ascii="Times New Roman" w:cs="Times New Roman" w:eastAsia="Times New Roman" w:hAnsi="Times New Roman"/>
          <w:sz w:val="18"/>
          <w:szCs w:val="18"/>
          <w:color w:val="auto"/>
        </w:rPr>
        <w:t>The Fund operates through a single operating and reporting segment with an objective to generate attractive current yields and risk-adjusted total returns for its shareholders by acquiring, investing in, and managing its targeted assets. The Fund’s CODM assesses performance and makes investment and operating decisions based on net income reported on the Consolidated Statement of Operations, among other metrics. Significant expenses are separately disclosed on the Consolidated Statements of Operations.</w:t>
      </w:r>
    </w:p>
    <w:p>
      <w:pPr>
        <w:spacing w:after="0" w:line="124" w:lineRule="exact"/>
        <w:rPr>
          <w:sz w:val="20"/>
          <w:szCs w:val="20"/>
          <w:color w:val="auto"/>
        </w:rPr>
      </w:pPr>
    </w:p>
    <w:p>
      <w:pPr>
        <w:ind w:right="60" w:firstLine="413"/>
        <w:spacing w:after="0" w:line="257" w:lineRule="auto"/>
        <w:tabs>
          <w:tab w:leader="none" w:pos="70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Recent Accounting Pronouncements: </w:t>
      </w:r>
      <w:r>
        <w:rPr>
          <w:rFonts w:ascii="Times New Roman" w:cs="Times New Roman" w:eastAsia="Times New Roman" w:hAnsi="Times New Roman"/>
          <w:sz w:val="18"/>
          <w:szCs w:val="18"/>
          <w:color w:val="auto"/>
        </w:rPr>
        <w:t>In November 2024, the FASB issued ASU 2024-03,</w:t>
      </w:r>
      <w:r>
        <w:rPr>
          <w:rFonts w:ascii="Times New Roman" w:cs="Times New Roman" w:eastAsia="Times New Roman" w:hAnsi="Times New Roman"/>
          <w:sz w:val="18"/>
          <w:szCs w:val="18"/>
          <w:i w:val="1"/>
          <w:iCs w:val="1"/>
          <w:color w:val="auto"/>
        </w:rPr>
        <w:t xml:space="preserve"> Disaggregation of Income Statement Expenses ("</w:t>
      </w:r>
      <w:r>
        <w:rPr>
          <w:rFonts w:ascii="Times New Roman" w:cs="Times New Roman" w:eastAsia="Times New Roman" w:hAnsi="Times New Roman"/>
          <w:sz w:val="18"/>
          <w:szCs w:val="18"/>
          <w:color w:val="auto"/>
        </w:rPr>
        <w:t>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2024-03"). ASU 2024-03 requires public entities to provide tabular disclosure of certain expenses including employee compensation, on an interim and annual basis, in the notes to the financial statements. ASU 2024-03 is effective for annual periods beginning after December 15, 2026, and interim periods in fiscal years beginning after December 15, 2027, with early adoption permitted. ASU 2024-03 should be applied on either a prospective basis to financial statements issued for reporting periods after the effective date of ASU 2024-03 or retrospectively to any or all prior periods presented in the financial statements. ASU 2024-03 is not expected to have a material impact on the Fund's consolidated financial statements.</w:t>
      </w:r>
    </w:p>
    <w:p>
      <w:pPr>
        <w:spacing w:after="0" w:line="128" w:lineRule="exact"/>
        <w:rPr>
          <w:sz w:val="20"/>
          <w:szCs w:val="20"/>
          <w:color w:val="auto"/>
        </w:rPr>
      </w:pPr>
    </w:p>
    <w:p>
      <w:pPr>
        <w:ind w:right="80" w:firstLine="445"/>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Reporting—Improvements to Reportable Segment Disclosures</w:t>
      </w:r>
      <w:r>
        <w:rPr>
          <w:rFonts w:ascii="Times New Roman" w:cs="Times New Roman" w:eastAsia="Times New Roman" w:hAnsi="Times New Roman"/>
          <w:sz w:val="18"/>
          <w:szCs w:val="18"/>
          <w:color w:val="auto"/>
        </w:rPr>
        <w:t xml:space="preserve"> ("ASU 2023-07") which requires incremental disclosures related to an entity's reportable segments, including identifying significant segment expense categories and any multiple measures of segment profit or loss used by the CODM. Additionally, ASU 2023-07 provides further guidance on interim reporting, disclosures required by entities with a single reportable segment, and recasting of previously reported segment information. ASU 2023-07 became effective for fiscal years beginning after December 15, 2023, and interim periods in fiscal years beginning after December 15, 2024, with early adoption permitted. The Fund has applied ASU 2023-07 on a retrospective basis, which did not have a material impact on the Fund's consolidated financial statements.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093"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480" w:type="dxa"/>
            <w:vAlign w:val="bottom"/>
            <w:gridSpan w:val="9"/>
          </w:tcPr>
          <w:p>
            <w:pPr>
              <w:ind w:left="420"/>
              <w:spacing w:after="0"/>
              <w:rPr>
                <w:sz w:val="20"/>
                <w:szCs w:val="20"/>
                <w:color w:val="auto"/>
              </w:rPr>
            </w:pPr>
            <w:r>
              <w:rPr>
                <w:rFonts w:ascii="Times New Roman" w:cs="Times New Roman" w:eastAsia="Times New Roman" w:hAnsi="Times New Roman"/>
                <w:sz w:val="18"/>
                <w:szCs w:val="18"/>
                <w:color w:val="auto"/>
              </w:rPr>
              <w:t>The following table presents the Fund's financial instruments measured at fair value on September 30, 2025:</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00" w:type="dxa"/>
            <w:vAlign w:val="bottom"/>
          </w:tcPr>
          <w:p>
            <w:pPr>
              <w:spacing w:after="0"/>
              <w:rPr>
                <w:sz w:val="24"/>
                <w:szCs w:val="24"/>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24"/>
                <w:szCs w:val="24"/>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40" w:type="dxa"/>
            <w:vAlign w:val="bottom"/>
          </w:tcPr>
          <w:p>
            <w:pPr>
              <w:spacing w:after="0"/>
              <w:rPr>
                <w:sz w:val="24"/>
                <w:szCs w:val="24"/>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60" w:type="dxa"/>
            <w:vAlign w:val="bottom"/>
          </w:tcPr>
          <w:p>
            <w:pPr>
              <w:spacing w:after="0"/>
              <w:rPr>
                <w:sz w:val="24"/>
                <w:szCs w:val="24"/>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0"/>
        </w:trPr>
        <w:tc>
          <w:tcPr>
            <w:tcW w:w="4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CLOs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231,303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148,291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379,594</w:t>
            </w:r>
          </w:p>
        </w:tc>
        <w:tc>
          <w:tcPr>
            <w:tcW w:w="0" w:type="dxa"/>
            <w:vAlign w:val="bottom"/>
          </w:tcPr>
          <w:p>
            <w:pPr>
              <w:spacing w:after="0"/>
              <w:rPr>
                <w:sz w:val="1"/>
                <w:szCs w:val="1"/>
                <w:color w:val="auto"/>
              </w:rPr>
            </w:pPr>
          </w:p>
        </w:tc>
      </w:tr>
      <w:tr>
        <w:trPr>
          <w:trHeight w:val="229"/>
        </w:trPr>
        <w:tc>
          <w:tcPr>
            <w:tcW w:w="4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Corporate debt</w:t>
            </w:r>
          </w:p>
        </w:tc>
        <w:tc>
          <w:tcPr>
            <w:tcW w:w="3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equity</w:t>
            </w: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0"/>
        </w:trPr>
        <w:tc>
          <w:tcPr>
            <w:tcW w:w="4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Agency interest only RMBS</w:t>
            </w:r>
          </w:p>
        </w:tc>
        <w:tc>
          <w:tcPr>
            <w:tcW w:w="3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231,303</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148,969</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380,272</w:t>
            </w:r>
          </w:p>
        </w:tc>
        <w:tc>
          <w:tcPr>
            <w:tcW w:w="0" w:type="dxa"/>
            <w:vAlign w:val="bottom"/>
          </w:tcPr>
          <w:p>
            <w:pPr>
              <w:spacing w:after="0"/>
              <w:rPr>
                <w:sz w:val="1"/>
                <w:szCs w:val="1"/>
                <w:color w:val="auto"/>
              </w:rPr>
            </w:pPr>
          </w:p>
        </w:tc>
      </w:tr>
      <w:tr>
        <w:trPr>
          <w:trHeight w:val="210"/>
        </w:trPr>
        <w:tc>
          <w:tcPr>
            <w:tcW w:w="4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Financial derivatives–assets, at fair value:</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Options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financial derivatives–assets, at fair value</w:t>
            </w: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148,969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381,318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Financial derivatives–liabilities, at fair value:</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Credit default swaps</w:t>
            </w:r>
          </w:p>
        </w:tc>
        <w:tc>
          <w:tcPr>
            <w:tcW w:w="3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40" w:firstLine="405"/>
        <w:spacing w:after="0" w:line="282" w:lineRule="auto"/>
        <w:rPr>
          <w:sz w:val="20"/>
          <w:szCs w:val="20"/>
          <w:color w:val="auto"/>
        </w:rPr>
      </w:pPr>
      <w:r>
        <w:rPr>
          <w:rFonts w:ascii="Times New Roman" w:cs="Times New Roman" w:eastAsia="Times New Roman" w:hAnsi="Times New Roman"/>
          <w:sz w:val="18"/>
          <w:szCs w:val="18"/>
          <w:color w:val="auto"/>
        </w:rPr>
        <w:t>The table below includes a roll-forward of the Fund's financial instruments measured at fair value for the six-month period ended September 30, 2025 (including change in fair value), for financial instruments classified by the Fund within Level 3 of the valuation hierarchy.</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Agency Interest</w:t>
            </w:r>
          </w:p>
        </w:tc>
        <w:tc>
          <w:tcPr>
            <w:tcW w:w="0" w:type="dxa"/>
            <w:vAlign w:val="bottom"/>
          </w:tcPr>
          <w:p>
            <w:pPr>
              <w:spacing w:after="0"/>
              <w:rPr>
                <w:sz w:val="1"/>
                <w:szCs w:val="1"/>
                <w:color w:val="auto"/>
              </w:rPr>
            </w:pPr>
          </w:p>
        </w:tc>
      </w:tr>
      <w:tr>
        <w:trPr>
          <w:trHeight w:val="175"/>
        </w:trPr>
        <w:tc>
          <w:tcPr>
            <w:tcW w:w="4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CLOs</w:t>
            </w:r>
          </w:p>
        </w:tc>
        <w:tc>
          <w:tcPr>
            <w:tcW w:w="140" w:type="dxa"/>
            <w:vAlign w:val="bottom"/>
          </w:tcPr>
          <w:p>
            <w:pPr>
              <w:spacing w:after="0"/>
              <w:rPr>
                <w:sz w:val="15"/>
                <w:szCs w:val="15"/>
                <w:color w:val="auto"/>
              </w:rPr>
            </w:pPr>
          </w:p>
        </w:tc>
        <w:tc>
          <w:tcPr>
            <w:tcW w:w="1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 Debt</w:t>
            </w:r>
          </w:p>
        </w:tc>
        <w:tc>
          <w:tcPr>
            <w:tcW w:w="100" w:type="dxa"/>
            <w:vAlign w:val="bottom"/>
          </w:tcPr>
          <w:p>
            <w:pPr>
              <w:spacing w:after="0"/>
              <w:rPr>
                <w:sz w:val="15"/>
                <w:szCs w:val="15"/>
                <w:color w:val="auto"/>
              </w:rPr>
            </w:pPr>
          </w:p>
        </w:tc>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Corporate Equity</w:t>
            </w:r>
          </w:p>
        </w:tc>
        <w:tc>
          <w:tcPr>
            <w:tcW w:w="140" w:type="dxa"/>
            <w:vAlign w:val="bottom"/>
          </w:tcPr>
          <w:p>
            <w:pPr>
              <w:spacing w:after="0"/>
              <w:rPr>
                <w:sz w:val="15"/>
                <w:szCs w:val="15"/>
                <w:color w:val="auto"/>
              </w:rPr>
            </w:pPr>
          </w:p>
        </w:tc>
        <w:tc>
          <w:tcPr>
            <w:tcW w:w="142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Only</w:t>
            </w: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2"/>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2"/>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RMBS</w:t>
            </w:r>
          </w:p>
        </w:tc>
        <w:tc>
          <w:tcPr>
            <w:tcW w:w="0" w:type="dxa"/>
            <w:vAlign w:val="bottom"/>
          </w:tcPr>
          <w:p>
            <w:pPr>
              <w:spacing w:after="0"/>
              <w:rPr>
                <w:sz w:val="1"/>
                <w:szCs w:val="1"/>
                <w:color w:val="auto"/>
              </w:rPr>
            </w:pPr>
          </w:p>
        </w:tc>
      </w:tr>
      <w:tr>
        <w:trPr>
          <w:trHeight w:val="190"/>
        </w:trPr>
        <w:tc>
          <w:tcPr>
            <w:tcW w:w="4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0" w:type="dxa"/>
            <w:vAlign w:val="bottom"/>
            <w:gridSpan w:val="5"/>
          </w:tcPr>
          <w:p>
            <w:pPr>
              <w:ind w:left="10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balance—April 1, 2025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133,423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(Amortization)/accretion, net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appreciation (depreciation)</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net unrealized appreciation (depreciation)</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Transfers into level 3</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Transfers out of level 3</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balance—September 30, 2025</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148,291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All amounts of net realized and changes in net unrealized appreciation (depreciation) in the table above are reflected in the accompanying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 of Operations. The table above incorporates changes in net unrealized appreciation (depreciation) for both Level 3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instruments held by the Fund at September 30, 2025, as well as Level 3 financial instruments disposed of by the Fund during the six-month period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For Level 3 financial instruments held by the Fund as of September 30, change in net unrealized appreciation (depreciation)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 million, $30 thousand, and $(3) thousand for the six-month period ended September 30, 2025 relate to CLOs, corporate debt, and corporate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w:t>
      </w:r>
    </w:p>
    <w:p>
      <w:pPr>
        <w:spacing w:after="0" w:line="153" w:lineRule="exact"/>
        <w:rPr>
          <w:sz w:val="20"/>
          <w:szCs w:val="20"/>
          <w:color w:val="auto"/>
        </w:rPr>
      </w:pPr>
    </w:p>
    <w:p>
      <w:pPr>
        <w:ind w:right="400" w:firstLine="405"/>
        <w:spacing w:after="0" w:line="261" w:lineRule="auto"/>
        <w:rPr>
          <w:sz w:val="20"/>
          <w:szCs w:val="20"/>
          <w:color w:val="auto"/>
        </w:rPr>
      </w:pPr>
      <w:r>
        <w:rPr>
          <w:rFonts w:ascii="Times New Roman" w:cs="Times New Roman" w:eastAsia="Times New Roman" w:hAnsi="Times New Roman"/>
          <w:sz w:val="18"/>
          <w:szCs w:val="18"/>
          <w:color w:val="auto"/>
        </w:rPr>
        <w:t>At September 30, 2025, the Fund transferred $27.2 million of assets from Level 3 to Level 2 and $23.4 million of assets from Level 2 to Level 3. Transfers between hierarchy levels are based on the availability of sufficient observable inputs to meet Level 2 versus Level 3 criteria. The level designation of each financial instrument is reassessed at the end of each period, and is based on pricing information received from third party pricing sources.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103" w:right="339" w:bottom="1440" w:gutter="0" w:footer="0" w:header="0"/>
        </w:sectPr>
      </w:pPr>
    </w:p>
    <w:bookmarkStart w:id="34" w:name="page35"/>
    <w:bookmarkEnd w:id="34"/>
    <w:p>
      <w:pPr>
        <w:ind w:right="60" w:firstLine="405"/>
        <w:spacing w:after="0" w:line="271" w:lineRule="auto"/>
        <w:rPr>
          <w:sz w:val="20"/>
          <w:szCs w:val="20"/>
          <w:color w:val="auto"/>
        </w:rPr>
      </w:pPr>
      <w:r>
        <w:rPr>
          <w:rFonts w:ascii="Times New Roman" w:cs="Times New Roman" w:eastAsia="Times New Roman" w:hAnsi="Times New Roman"/>
          <w:sz w:val="18"/>
          <w:szCs w:val="18"/>
          <w:color w:val="auto"/>
        </w:rPr>
        <w:t>The following table identifies the significant unobservable inputs that affect the valuation of the Fund's Level 3 financial instruments as of September 30,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Valuation</w:t>
            </w:r>
          </w:p>
        </w:tc>
        <w:tc>
          <w:tcPr>
            <w:tcW w:w="2340" w:type="dxa"/>
            <w:vAlign w:val="bottom"/>
            <w:gridSpan w:val="2"/>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7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Range</w:t>
            </w:r>
          </w:p>
        </w:tc>
        <w:tc>
          <w:tcPr>
            <w:tcW w:w="100" w:type="dxa"/>
            <w:vAlign w:val="bottom"/>
          </w:tcPr>
          <w:p>
            <w:pPr>
              <w:spacing w:after="0"/>
              <w:rPr>
                <w:sz w:val="20"/>
                <w:szCs w:val="20"/>
                <w:color w:val="auto"/>
              </w:rPr>
            </w:pPr>
          </w:p>
        </w:tc>
        <w:tc>
          <w:tcPr>
            <w:tcW w:w="11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155"/>
        </w:trPr>
        <w:tc>
          <w:tcPr>
            <w:tcW w:w="2700" w:type="dxa"/>
            <w:vAlign w:val="bottom"/>
            <w:gridSpan w:val="2"/>
            <w:vMerge w:val="restart"/>
          </w:tcPr>
          <w:p>
            <w:pPr>
              <w:ind w:left="8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0" w:type="dxa"/>
            <w:vAlign w:val="bottom"/>
          </w:tcPr>
          <w:p>
            <w:pPr>
              <w:spacing w:after="0"/>
              <w:rPr>
                <w:sz w:val="13"/>
                <w:szCs w:val="13"/>
                <w:color w:val="auto"/>
              </w:rPr>
            </w:pPr>
          </w:p>
        </w:tc>
        <w:tc>
          <w:tcPr>
            <w:tcW w:w="1200" w:type="dxa"/>
            <w:vAlign w:val="bottom"/>
            <w:vMerge w:val="restart"/>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Min</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Max</w:t>
            </w: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70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Technique</w:t>
            </w:r>
          </w:p>
        </w:tc>
        <w:tc>
          <w:tcPr>
            <w:tcW w:w="23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7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118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b w:val="1"/>
                <w:bCs w:val="1"/>
                <w:color w:val="auto"/>
              </w:rPr>
              <w:t>Average</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190"/>
        </w:trPr>
        <w:tc>
          <w:tcPr>
            <w:tcW w:w="2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34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Non-binding third-party</w:t>
            </w: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83,442</w:t>
            </w:r>
          </w:p>
        </w:tc>
        <w:tc>
          <w:tcPr>
            <w:tcW w:w="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quotes</w:t>
            </w:r>
          </w:p>
        </w:tc>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w:t>
            </w:r>
          </w:p>
        </w:tc>
        <w:tc>
          <w:tcPr>
            <w:tcW w:w="7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$5.00</w:t>
            </w:r>
          </w:p>
        </w:tc>
        <w:tc>
          <w:tcPr>
            <w:tcW w:w="118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$65.55</w:t>
            </w:r>
          </w:p>
        </w:tc>
        <w:tc>
          <w:tcPr>
            <w:tcW w:w="0" w:type="dxa"/>
            <w:vAlign w:val="bottom"/>
          </w:tcPr>
          <w:p>
            <w:pPr>
              <w:spacing w:after="0"/>
              <w:rPr>
                <w:sz w:val="1"/>
                <w:szCs w:val="1"/>
                <w:color w:val="auto"/>
              </w:rPr>
            </w:pPr>
          </w:p>
        </w:tc>
      </w:tr>
      <w:tr>
        <w:trPr>
          <w:trHeight w:val="176"/>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Discounted cash</w:t>
            </w:r>
          </w:p>
        </w:tc>
        <w:tc>
          <w:tcPr>
            <w:tcW w:w="2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Yield</w:t>
            </w:r>
            <w:r>
              <w:rPr>
                <w:rFonts w:ascii="Times New Roman" w:cs="Times New Roman" w:eastAsia="Times New Roman" w:hAnsi="Times New Roman"/>
                <w:sz w:val="23"/>
                <w:szCs w:val="23"/>
                <w:color w:val="auto"/>
                <w:vertAlign w:val="superscript"/>
              </w:rPr>
              <w:t>(2)</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64,849</w:t>
            </w:r>
          </w:p>
        </w:tc>
        <w:tc>
          <w:tcPr>
            <w:tcW w:w="80" w:type="dxa"/>
            <w:vAlign w:val="bottom"/>
            <w:tcBorders>
              <w:bottom w:val="single" w:sz="8" w:color="CCEEFF"/>
            </w:tcBorders>
          </w:tcPr>
          <w:p>
            <w:pPr>
              <w:spacing w:after="0"/>
              <w:rPr>
                <w:sz w:val="21"/>
                <w:szCs w:val="21"/>
                <w:color w:val="auto"/>
              </w:rPr>
            </w:pPr>
          </w:p>
        </w:tc>
        <w:tc>
          <w:tcPr>
            <w:tcW w:w="1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flows</w:t>
            </w:r>
          </w:p>
        </w:tc>
        <w:tc>
          <w:tcPr>
            <w:tcW w:w="2340" w:type="dxa"/>
            <w:vAlign w:val="bottom"/>
            <w:tcBorders>
              <w:bottom w:val="single" w:sz="8" w:color="CCEEFF"/>
            </w:tcBorders>
            <w:gridSpan w:val="2"/>
            <w:vMerge w:val="continue"/>
          </w:tcPr>
          <w:p>
            <w:pPr>
              <w:spacing w:after="0"/>
              <w:rPr>
                <w:sz w:val="21"/>
                <w:szCs w:val="21"/>
                <w:color w:val="auto"/>
              </w:rPr>
            </w:pPr>
          </w:p>
        </w:tc>
        <w:tc>
          <w:tcPr>
            <w:tcW w:w="700" w:type="dxa"/>
            <w:vAlign w:val="bottom"/>
            <w:tcBorders>
              <w:bottom w:val="single" w:sz="8" w:color="CCEEFF"/>
            </w:tcBorders>
          </w:tcPr>
          <w:p>
            <w:pPr>
              <w:jc w:val="center"/>
              <w:ind w:left="110"/>
              <w:spacing w:after="0"/>
              <w:rPr>
                <w:sz w:val="20"/>
                <w:szCs w:val="20"/>
                <w:color w:val="auto"/>
              </w:rPr>
            </w:pPr>
            <w:r>
              <w:rPr>
                <w:rFonts w:ascii="Times New Roman" w:cs="Times New Roman" w:eastAsia="Times New Roman" w:hAnsi="Times New Roman"/>
                <w:sz w:val="18"/>
                <w:szCs w:val="18"/>
                <w:color w:val="auto"/>
                <w:w w:val="98"/>
              </w:rPr>
              <w:t>10.8%</w:t>
            </w:r>
          </w:p>
        </w:tc>
        <w:tc>
          <w:tcPr>
            <w:tcW w:w="1180" w:type="dxa"/>
            <w:vAlign w:val="bottom"/>
            <w:tcBorders>
              <w:bottom w:val="single" w:sz="8" w:color="CCEEFF"/>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15.4%</w:t>
            </w:r>
          </w:p>
        </w:tc>
        <w:tc>
          <w:tcPr>
            <w:tcW w:w="0" w:type="dxa"/>
            <w:vAlign w:val="bottom"/>
          </w:tcPr>
          <w:p>
            <w:pPr>
              <w:spacing w:after="0"/>
              <w:rPr>
                <w:sz w:val="1"/>
                <w:szCs w:val="1"/>
                <w:color w:val="auto"/>
              </w:rPr>
            </w:pPr>
          </w:p>
        </w:tc>
      </w:tr>
      <w:tr>
        <w:trPr>
          <w:trHeight w:val="223"/>
        </w:trPr>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148,291</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color w:val="auto"/>
              </w:rPr>
              <w:t>Discounted cash</w:t>
            </w:r>
          </w:p>
        </w:tc>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debt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tcPr>
          <w:p>
            <w:pPr>
              <w:spacing w:after="0"/>
              <w:rPr>
                <w:sz w:val="21"/>
                <w:szCs w:val="21"/>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flows</w:t>
            </w: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Yield</w:t>
            </w:r>
          </w:p>
        </w:tc>
        <w:tc>
          <w:tcPr>
            <w:tcW w:w="7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6.7%</w:t>
            </w:r>
          </w:p>
        </w:tc>
        <w:tc>
          <w:tcPr>
            <w:tcW w:w="11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19.6%</w:t>
            </w:r>
          </w:p>
        </w:tc>
        <w:tc>
          <w:tcPr>
            <w:tcW w:w="0" w:type="dxa"/>
            <w:vAlign w:val="bottom"/>
          </w:tcPr>
          <w:p>
            <w:pPr>
              <w:spacing w:after="0"/>
              <w:rPr>
                <w:sz w:val="1"/>
                <w:szCs w:val="1"/>
                <w:color w:val="auto"/>
              </w:rPr>
            </w:pPr>
          </w:p>
        </w:tc>
      </w:tr>
      <w:tr>
        <w:trPr>
          <w:trHeight w:val="176"/>
        </w:trPr>
        <w:tc>
          <w:tcPr>
            <w:tcW w:w="2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Discounted cash</w:t>
            </w:r>
          </w:p>
        </w:tc>
        <w:tc>
          <w:tcPr>
            <w:tcW w:w="2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equity</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flows</w:t>
            </w:r>
          </w:p>
        </w:tc>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Yield</w:t>
            </w:r>
          </w:p>
        </w:tc>
        <w:tc>
          <w:tcPr>
            <w:tcW w:w="7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8"/>
              </w:rPr>
              <w:t>18.5%</w:t>
            </w:r>
          </w:p>
        </w:tc>
        <w:tc>
          <w:tcPr>
            <w:tcW w:w="118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18.9%</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Averages are weighted based on the fair value of the related instrument.</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CLOs with a fair value of $0.4 million which have expected yields below 0% or greater than 100%.</w:t>
      </w:r>
    </w:p>
    <w:p>
      <w:pPr>
        <w:spacing w:after="0" w:line="165" w:lineRule="exact"/>
        <w:rPr>
          <w:sz w:val="20"/>
          <w:szCs w:val="20"/>
          <w:color w:val="auto"/>
        </w:rPr>
      </w:pPr>
    </w:p>
    <w:p>
      <w:pPr>
        <w:ind w:right="220" w:firstLine="445"/>
        <w:spacing w:after="0" w:line="266" w:lineRule="auto"/>
        <w:rPr>
          <w:sz w:val="20"/>
          <w:szCs w:val="20"/>
          <w:color w:val="auto"/>
        </w:rPr>
      </w:pPr>
      <w:r>
        <w:rPr>
          <w:rFonts w:ascii="Times New Roman" w:cs="Times New Roman" w:eastAsia="Times New Roman" w:hAnsi="Times New Roman"/>
          <w:sz w:val="18"/>
          <w:szCs w:val="18"/>
          <w:color w:val="auto"/>
        </w:rPr>
        <w:t>Third-party non-binding valuations are validated by comparing such valuations to internally generated prices based on EMG's and/or third-party models and, when available, to recent trading activity in the same or similar instruments. For those instruments valued using discounted cash flows, such estimates of future cash flows may incorporate projections of interest and principal payments, fee rebates, credit losses, and redemptions.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Material changes in any of the inputs above in isolation could result in a significant change to reported fair value measurements.</w:t>
      </w:r>
    </w:p>
    <w:p>
      <w:pPr>
        <w:spacing w:after="0" w:line="17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Not included in the disclosures above are the Fund’s other financial instruments, which are carried at cost, and include cash and cash equivalents, due to/from broker, and reverse repurchase agreements. Cash and cash equivalents includes cash held in interest bearing overnight accounts, for which fair value equals the carrying value, and cash held in money market accounts, which are liquid in nature and for which fair value equals the carrying value; such assets are considered Level 1 assets. Due from brokers and Due to brokers include collateral transferred to or received from counterparties, along with receivables and payables for open and/or closed derivative positions. These receivables and payables are short term in nature and any collateral transferred consists primarily of cash; fair value of these items approximates carrying value and such items are considered Level 1 assets and liabilities. The Fund's reverse repurchase agreements are carried at cost, which approximates fair value due to their short term nature and are classified as Level 2 liabilities based on the adequacy of the collateral and their short term nature.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Financial Derivatives</w:t>
      </w:r>
    </w:p>
    <w:p>
      <w:pPr>
        <w:spacing w:after="0" w:line="94"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The Fund manages certain risks associated with its investments and borrowings, including interest rate, credit, liquidity, and foreign exchange rate risk primarily by managing the amount, sources, and duration of its investments and borrowings, and through the use of derivative financial instruments. The Fund's derivative financial instruments are used to manage differences in the amount, timing, and duration of its known or expected cash receipts and its known or expected cash payments principally related to its investments and borrowings, as well as to mitigate changes in the fair value of its investments that are caused by changes in overall market conditions.</w:t>
      </w:r>
    </w:p>
    <w:p>
      <w:pPr>
        <w:spacing w:after="0" w:line="129"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The table below details the average notional values of the Fund's financial derivatives, using absolute value of month end notional values, for the six-month period ended September 30, 2025:</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Type</w:t>
            </w: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Six-Month Period Ended</w:t>
            </w:r>
          </w:p>
        </w:tc>
        <w:tc>
          <w:tcPr>
            <w:tcW w:w="0" w:type="dxa"/>
            <w:vAlign w:val="bottom"/>
          </w:tcPr>
          <w:p>
            <w:pPr>
              <w:spacing w:after="0"/>
              <w:rPr>
                <w:sz w:val="1"/>
                <w:szCs w:val="1"/>
                <w:color w:val="auto"/>
              </w:rPr>
            </w:pPr>
          </w:p>
        </w:tc>
      </w:tr>
      <w:tr>
        <w:trPr>
          <w:trHeight w:val="243"/>
        </w:trPr>
        <w:tc>
          <w:tcPr>
            <w:tcW w:w="3520" w:type="dxa"/>
            <w:vAlign w:val="bottom"/>
            <w:tcBorders>
              <w:bottom w:val="single" w:sz="8" w:color="auto"/>
            </w:tcBorders>
            <w:vMerge w:val="continue"/>
          </w:tcPr>
          <w:p>
            <w:pPr>
              <w:spacing w:after="0"/>
              <w:rPr>
                <w:sz w:val="21"/>
                <w:szCs w:val="21"/>
                <w:color w:val="auto"/>
              </w:rPr>
            </w:pPr>
          </w:p>
        </w:tc>
        <w:tc>
          <w:tcPr>
            <w:tcW w:w="5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0" w:type="dxa"/>
            <w:vAlign w:val="bottom"/>
          </w:tcPr>
          <w:p>
            <w:pPr>
              <w:spacing w:after="0"/>
              <w:rPr>
                <w:sz w:val="1"/>
                <w:szCs w:val="1"/>
                <w:color w:val="auto"/>
              </w:rPr>
            </w:pPr>
          </w:p>
        </w:tc>
      </w:tr>
      <w:tr>
        <w:trPr>
          <w:trHeight w:val="190"/>
        </w:trPr>
        <w:tc>
          <w:tcPr>
            <w:tcW w:w="35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23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7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174,082</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default swaps</w:t>
            </w:r>
          </w:p>
        </w:tc>
        <w:tc>
          <w:tcPr>
            <w:tcW w:w="7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35,593</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Futures</w:t>
            </w:r>
          </w:p>
        </w:tc>
        <w:tc>
          <w:tcPr>
            <w:tcW w:w="7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18,839</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Forward</w:t>
            </w:r>
          </w:p>
        </w:tc>
        <w:tc>
          <w:tcPr>
            <w:tcW w:w="7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7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904"/>
        </w:trPr>
        <w:tc>
          <w:tcPr>
            <w:tcW w:w="3520" w:type="dxa"/>
            <w:vAlign w:val="bottom"/>
          </w:tcPr>
          <w:p>
            <w:pPr>
              <w:spacing w:after="0"/>
              <w:rPr>
                <w:sz w:val="24"/>
                <w:szCs w:val="24"/>
                <w:color w:val="auto"/>
              </w:rPr>
            </w:pPr>
          </w:p>
        </w:tc>
        <w:tc>
          <w:tcPr>
            <w:tcW w:w="5060" w:type="dxa"/>
            <w:vAlign w:val="bottom"/>
          </w:tcPr>
          <w:p>
            <w:pPr>
              <w:jc w:val="right"/>
              <w:ind w:right="277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93" w:right="339" w:bottom="1440" w:gutter="0" w:footer="0" w:header="0"/>
        </w:sectPr>
      </w:pPr>
    </w:p>
    <w:bookmarkStart w:id="35" w:name="page36"/>
    <w:bookmarkEnd w:id="35"/>
    <w:p>
      <w:pPr>
        <w:ind w:left="420"/>
        <w:spacing w:after="0"/>
        <w:rPr>
          <w:sz w:val="20"/>
          <w:szCs w:val="20"/>
          <w:color w:val="auto"/>
        </w:rPr>
      </w:pPr>
      <w:r>
        <w:rPr>
          <w:rFonts w:ascii="Times New Roman" w:cs="Times New Roman" w:eastAsia="Times New Roman" w:hAnsi="Times New Roman"/>
          <w:sz w:val="18"/>
          <w:szCs w:val="18"/>
          <w:color w:val="auto"/>
        </w:rPr>
        <w:t>Gains and losses on the Fund's financial derivatives for the six-month period ended September 30, 2025 are summarized in the tables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Net Realized</w:t>
            </w:r>
          </w:p>
        </w:tc>
        <w:tc>
          <w:tcPr>
            <w:tcW w:w="160" w:type="dxa"/>
            <w:vAlign w:val="bottom"/>
          </w:tcPr>
          <w:p>
            <w:pPr>
              <w:spacing w:after="0"/>
              <w:rPr>
                <w:sz w:val="16"/>
                <w:szCs w:val="16"/>
                <w:color w:val="auto"/>
              </w:rPr>
            </w:pPr>
          </w:p>
        </w:tc>
        <w:tc>
          <w:tcPr>
            <w:tcW w:w="15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Realized</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Change in Net</w:t>
            </w:r>
          </w:p>
        </w:tc>
        <w:tc>
          <w:tcPr>
            <w:tcW w:w="19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Change in Net Unrealized</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9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Change in Net</w:t>
            </w: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Appreciation</w:t>
            </w:r>
          </w:p>
        </w:tc>
        <w:tc>
          <w:tcPr>
            <w:tcW w:w="160" w:type="dxa"/>
            <w:vAlign w:val="bottom"/>
          </w:tcPr>
          <w:p>
            <w:pPr>
              <w:spacing w:after="0"/>
              <w:rPr>
                <w:sz w:val="14"/>
                <w:szCs w:val="14"/>
                <w:color w:val="auto"/>
              </w:rPr>
            </w:pPr>
          </w:p>
        </w:tc>
        <w:tc>
          <w:tcPr>
            <w:tcW w:w="15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Appreciation</w:t>
            </w:r>
          </w:p>
        </w:tc>
        <w:tc>
          <w:tcPr>
            <w:tcW w:w="140" w:type="dxa"/>
            <w:vAlign w:val="bottom"/>
          </w:tcPr>
          <w:p>
            <w:pPr>
              <w:spacing w:after="0"/>
              <w:rPr>
                <w:sz w:val="14"/>
                <w:szCs w:val="14"/>
                <w:color w:val="auto"/>
              </w:rPr>
            </w:pPr>
          </w:p>
        </w:tc>
        <w:tc>
          <w:tcPr>
            <w:tcW w:w="1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Net Realized</w:t>
            </w:r>
          </w:p>
        </w:tc>
        <w:tc>
          <w:tcPr>
            <w:tcW w:w="140" w:type="dxa"/>
            <w:vAlign w:val="bottom"/>
          </w:tcPr>
          <w:p>
            <w:pPr>
              <w:spacing w:after="0"/>
              <w:rPr>
                <w:sz w:val="14"/>
                <w:szCs w:val="14"/>
                <w:color w:val="auto"/>
              </w:rPr>
            </w:pPr>
          </w:p>
        </w:tc>
        <w:tc>
          <w:tcPr>
            <w:tcW w:w="12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Appreciation</w:t>
            </w:r>
          </w:p>
        </w:tc>
        <w:tc>
          <w:tcPr>
            <w:tcW w:w="120" w:type="dxa"/>
            <w:vAlign w:val="bottom"/>
          </w:tcPr>
          <w:p>
            <w:pPr>
              <w:spacing w:after="0"/>
              <w:rPr>
                <w:sz w:val="14"/>
                <w:szCs w:val="14"/>
                <w:color w:val="auto"/>
              </w:rPr>
            </w:pPr>
          </w:p>
        </w:tc>
        <w:tc>
          <w:tcPr>
            <w:tcW w:w="18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Appreciation</w:t>
            </w:r>
          </w:p>
        </w:tc>
        <w:tc>
          <w:tcPr>
            <w:tcW w:w="1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(Depreciation) on</w:t>
            </w:r>
          </w:p>
        </w:tc>
        <w:tc>
          <w:tcPr>
            <w:tcW w:w="160" w:type="dxa"/>
            <w:vAlign w:val="bottom"/>
          </w:tcPr>
          <w:p>
            <w:pPr>
              <w:spacing w:after="0"/>
              <w:rPr>
                <w:sz w:val="14"/>
                <w:szCs w:val="14"/>
                <w:color w:val="auto"/>
              </w:rPr>
            </w:pPr>
          </w:p>
        </w:tc>
        <w:tc>
          <w:tcPr>
            <w:tcW w:w="15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(Depreciation) on</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(Depreciation) on</w:t>
            </w:r>
          </w:p>
        </w:tc>
        <w:tc>
          <w:tcPr>
            <w:tcW w:w="120" w:type="dxa"/>
            <w:vAlign w:val="bottom"/>
          </w:tcPr>
          <w:p>
            <w:pPr>
              <w:spacing w:after="0"/>
              <w:rPr>
                <w:sz w:val="14"/>
                <w:szCs w:val="14"/>
                <w:color w:val="auto"/>
              </w:rPr>
            </w:pPr>
          </w:p>
        </w:tc>
        <w:tc>
          <w:tcPr>
            <w:tcW w:w="18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(Depreciation) on</w:t>
            </w:r>
          </w:p>
        </w:tc>
        <w:tc>
          <w:tcPr>
            <w:tcW w:w="140" w:type="dxa"/>
            <w:vAlign w:val="bottom"/>
          </w:tcPr>
          <w:p>
            <w:pPr>
              <w:spacing w:after="0"/>
              <w:rPr>
                <w:sz w:val="14"/>
                <w:szCs w:val="14"/>
                <w:color w:val="auto"/>
              </w:rPr>
            </w:pPr>
          </w:p>
        </w:tc>
        <w:tc>
          <w:tcPr>
            <w:tcW w:w="120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Periodic</w:t>
            </w:r>
          </w:p>
        </w:tc>
        <w:tc>
          <w:tcPr>
            <w:tcW w:w="172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Financial Derivatives</w:t>
            </w:r>
          </w:p>
        </w:tc>
        <w:tc>
          <w:tcPr>
            <w:tcW w:w="140" w:type="dxa"/>
            <w:vAlign w:val="bottom"/>
          </w:tcPr>
          <w:p>
            <w:pPr>
              <w:spacing w:after="0"/>
              <w:rPr>
                <w:sz w:val="14"/>
                <w:szCs w:val="14"/>
                <w:color w:val="auto"/>
              </w:rPr>
            </w:pPr>
          </w:p>
        </w:tc>
        <w:tc>
          <w:tcPr>
            <w:tcW w:w="12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Appreciation</w:t>
            </w:r>
          </w:p>
        </w:tc>
        <w:tc>
          <w:tcPr>
            <w:tcW w:w="14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Accrued Periodic</w:t>
            </w:r>
          </w:p>
        </w:tc>
        <w:tc>
          <w:tcPr>
            <w:tcW w:w="120" w:type="dxa"/>
            <w:vAlign w:val="bottom"/>
          </w:tcPr>
          <w:p>
            <w:pPr>
              <w:spacing w:after="0"/>
              <w:rPr>
                <w:sz w:val="14"/>
                <w:szCs w:val="14"/>
                <w:color w:val="auto"/>
              </w:rPr>
            </w:pPr>
          </w:p>
        </w:tc>
        <w:tc>
          <w:tcPr>
            <w:tcW w:w="18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Financial Derivatives</w:t>
            </w:r>
          </w:p>
        </w:tc>
        <w:tc>
          <w:tcPr>
            <w:tcW w:w="140" w:type="dxa"/>
            <w:vAlign w:val="bottom"/>
          </w:tcPr>
          <w:p>
            <w:pPr>
              <w:spacing w:after="0"/>
              <w:rPr>
                <w:sz w:val="14"/>
                <w:szCs w:val="14"/>
                <w:color w:val="auto"/>
              </w:rPr>
            </w:pPr>
          </w:p>
        </w:tc>
        <w:tc>
          <w:tcPr>
            <w:tcW w:w="120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Appreciation</w:t>
            </w: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Settlements of</w:t>
            </w:r>
          </w:p>
        </w:tc>
        <w:tc>
          <w:tcPr>
            <w:tcW w:w="17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Other Than Periodic</w:t>
            </w:r>
          </w:p>
        </w:tc>
        <w:tc>
          <w:tcPr>
            <w:tcW w:w="140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(Depreciation) on</w:t>
            </w:r>
          </w:p>
        </w:tc>
        <w:tc>
          <w:tcPr>
            <w:tcW w:w="140" w:type="dxa"/>
            <w:vAlign w:val="bottom"/>
          </w:tcPr>
          <w:p>
            <w:pPr>
              <w:spacing w:after="0"/>
              <w:rPr>
                <w:sz w:val="14"/>
                <w:szCs w:val="14"/>
                <w:color w:val="auto"/>
              </w:rPr>
            </w:pPr>
          </w:p>
        </w:tc>
        <w:tc>
          <w:tcPr>
            <w:tcW w:w="12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Settlements of</w:t>
            </w:r>
          </w:p>
        </w:tc>
        <w:tc>
          <w:tcPr>
            <w:tcW w:w="196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Other Than on Accrued</w:t>
            </w:r>
          </w:p>
        </w:tc>
        <w:tc>
          <w:tcPr>
            <w:tcW w:w="13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(Depreciation) on</w:t>
            </w:r>
          </w:p>
        </w:tc>
        <w:tc>
          <w:tcPr>
            <w:tcW w:w="0" w:type="dxa"/>
            <w:vAlign w:val="bottom"/>
          </w:tcPr>
          <w:p>
            <w:pPr>
              <w:spacing w:after="0"/>
              <w:rPr>
                <w:sz w:val="1"/>
                <w:szCs w:val="1"/>
                <w:color w:val="auto"/>
              </w:rPr>
            </w:pPr>
          </w:p>
        </w:tc>
      </w:tr>
      <w:tr>
        <w:trPr>
          <w:trHeight w:val="162"/>
        </w:trPr>
        <w:tc>
          <w:tcPr>
            <w:tcW w:w="2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 Type</w:t>
            </w:r>
          </w:p>
        </w:tc>
        <w:tc>
          <w:tcPr>
            <w:tcW w:w="140" w:type="dxa"/>
            <w:vAlign w:val="bottom"/>
          </w:tcPr>
          <w:p>
            <w:pPr>
              <w:spacing w:after="0"/>
              <w:rPr>
                <w:sz w:val="14"/>
                <w:szCs w:val="14"/>
                <w:color w:val="auto"/>
              </w:rPr>
            </w:pPr>
          </w:p>
        </w:tc>
        <w:tc>
          <w:tcPr>
            <w:tcW w:w="12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Interest Rate</w:t>
            </w:r>
          </w:p>
        </w:tc>
        <w:tc>
          <w:tcPr>
            <w:tcW w:w="17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Settlements of Interest</w:t>
            </w:r>
          </w:p>
        </w:tc>
        <w:tc>
          <w:tcPr>
            <w:tcW w:w="140" w:type="dxa"/>
            <w:vAlign w:val="bottom"/>
          </w:tcPr>
          <w:p>
            <w:pPr>
              <w:spacing w:after="0"/>
              <w:rPr>
                <w:sz w:val="14"/>
                <w:szCs w:val="14"/>
                <w:color w:val="auto"/>
              </w:rPr>
            </w:pPr>
          </w:p>
        </w:tc>
        <w:tc>
          <w:tcPr>
            <w:tcW w:w="12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Financial</w:t>
            </w:r>
          </w:p>
        </w:tc>
        <w:tc>
          <w:tcPr>
            <w:tcW w:w="140" w:type="dxa"/>
            <w:vAlign w:val="bottom"/>
          </w:tcPr>
          <w:p>
            <w:pPr>
              <w:spacing w:after="0"/>
              <w:rPr>
                <w:sz w:val="14"/>
                <w:szCs w:val="14"/>
                <w:color w:val="auto"/>
              </w:rPr>
            </w:pPr>
          </w:p>
        </w:tc>
        <w:tc>
          <w:tcPr>
            <w:tcW w:w="12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Interest Rate</w:t>
            </w:r>
          </w:p>
        </w:tc>
        <w:tc>
          <w:tcPr>
            <w:tcW w:w="120" w:type="dxa"/>
            <w:vAlign w:val="bottom"/>
          </w:tcPr>
          <w:p>
            <w:pPr>
              <w:spacing w:after="0"/>
              <w:rPr>
                <w:sz w:val="14"/>
                <w:szCs w:val="14"/>
                <w:color w:val="auto"/>
              </w:rPr>
            </w:pPr>
          </w:p>
        </w:tc>
        <w:tc>
          <w:tcPr>
            <w:tcW w:w="18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Periodic Settlements of</w:t>
            </w:r>
          </w:p>
        </w:tc>
        <w:tc>
          <w:tcPr>
            <w:tcW w:w="140" w:type="dxa"/>
            <w:vAlign w:val="bottom"/>
          </w:tcPr>
          <w:p>
            <w:pPr>
              <w:spacing w:after="0"/>
              <w:rPr>
                <w:sz w:val="14"/>
                <w:szCs w:val="14"/>
                <w:color w:val="auto"/>
              </w:rPr>
            </w:pPr>
          </w:p>
        </w:tc>
        <w:tc>
          <w:tcPr>
            <w:tcW w:w="120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Financial</w:t>
            </w:r>
          </w:p>
        </w:tc>
        <w:tc>
          <w:tcPr>
            <w:tcW w:w="0" w:type="dxa"/>
            <w:vAlign w:val="bottom"/>
          </w:tcPr>
          <w:p>
            <w:pPr>
              <w:spacing w:after="0"/>
              <w:rPr>
                <w:sz w:val="1"/>
                <w:szCs w:val="1"/>
                <w:color w:val="auto"/>
              </w:rPr>
            </w:pPr>
          </w:p>
        </w:tc>
      </w:tr>
      <w:tr>
        <w:trPr>
          <w:trHeight w:val="214"/>
        </w:trPr>
        <w:tc>
          <w:tcPr>
            <w:tcW w:w="2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Swaps</w:t>
            </w:r>
          </w:p>
        </w:tc>
        <w:tc>
          <w:tcPr>
            <w:tcW w:w="16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Rate Swaps</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14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Swaps</w:t>
            </w:r>
          </w:p>
        </w:tc>
        <w:tc>
          <w:tcPr>
            <w:tcW w:w="120" w:type="dxa"/>
            <w:vAlign w:val="bottom"/>
          </w:tcPr>
          <w:p>
            <w:pPr>
              <w:spacing w:after="0"/>
              <w:rPr>
                <w:sz w:val="18"/>
                <w:szCs w:val="18"/>
                <w:color w:val="auto"/>
              </w:rPr>
            </w:pPr>
          </w:p>
        </w:tc>
        <w:tc>
          <w:tcPr>
            <w:tcW w:w="1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Interest Rate Swaps</w:t>
            </w:r>
          </w:p>
        </w:tc>
        <w:tc>
          <w:tcPr>
            <w:tcW w:w="140" w:type="dxa"/>
            <w:vAlign w:val="bottom"/>
          </w:tcPr>
          <w:p>
            <w:pPr>
              <w:spacing w:after="0"/>
              <w:rPr>
                <w:sz w:val="18"/>
                <w:szCs w:val="18"/>
                <w:color w:val="auto"/>
              </w:rPr>
            </w:pPr>
          </w:p>
        </w:tc>
        <w:tc>
          <w:tcPr>
            <w:tcW w:w="120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0" w:type="dxa"/>
            <w:vAlign w:val="bottom"/>
          </w:tcPr>
          <w:p>
            <w:pPr>
              <w:spacing w:after="0"/>
              <w:rPr>
                <w:sz w:val="1"/>
                <w:szCs w:val="1"/>
                <w:color w:val="auto"/>
              </w:rPr>
            </w:pPr>
          </w:p>
        </w:tc>
      </w:tr>
      <w:tr>
        <w:trPr>
          <w:trHeight w:val="192"/>
        </w:trPr>
        <w:tc>
          <w:tcPr>
            <w:tcW w:w="1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Futures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default swaps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2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248"/>
        </w:trPr>
        <w:tc>
          <w:tcPr>
            <w:tcW w:w="20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Borrowings under Reverse Repurchase Agreements</w:t>
      </w:r>
    </w:p>
    <w:p>
      <w:pPr>
        <w:spacing w:after="0" w:line="94" w:lineRule="exact"/>
        <w:rPr>
          <w:sz w:val="20"/>
          <w:szCs w:val="20"/>
          <w:color w:val="auto"/>
        </w:rPr>
      </w:pPr>
    </w:p>
    <w:p>
      <w:pPr>
        <w:ind w:right="20" w:firstLine="405"/>
        <w:spacing w:after="0" w:line="252" w:lineRule="auto"/>
        <w:rPr>
          <w:sz w:val="20"/>
          <w:szCs w:val="20"/>
          <w:color w:val="auto"/>
        </w:rPr>
      </w:pPr>
      <w:r>
        <w:rPr>
          <w:rFonts w:ascii="Times New Roman" w:cs="Times New Roman" w:eastAsia="Times New Roman" w:hAnsi="Times New Roman"/>
          <w:sz w:val="18"/>
          <w:szCs w:val="18"/>
          <w:color w:val="auto"/>
        </w:rPr>
        <w:t>The Fund enters into reverse repurchase agreements. A reverse repurchase agreement involves the sale of an asset to a counterparty together with a simultaneous agreement to repurchase the transferred asset or similar asset from such counterparty at a future date. The Fund accounts for its reverse repurchase agreements as collateralized borrowings, with the transferred assets effectively serving as collateral for the related borrowing. The Fund's reverse repurchase agreements typically range in term from 30 to 364 days. The principal economic terms of each reverse repurchase agreement—such as loan amount, interest rate, and maturity date—are typically negotiated on a transaction-by-transaction basis. Other terms and conditions, such as relating to events of default, are typically governed under the Fund's master repurchase agreements. Absent an event of default, the Fund maintains beneficial ownership of the transferred securities during the term of the reverse repurchase agreement and receives the related principal and interest payments. Interest rates on these borrowings are generally fixed based on prevailing rates corresponding to the terms of the borrowings, and interest is paid at the termination of the reverse repurchase agreement at which time the Fund may enter into a new reverse repurchase agreement at prevailing market rates with the same counterparty, repay that counterparty and possibly negotiate financing terms with a different counterparty, or choose to no longer finance the related asset. In response to a decline in the fair value of the transferred securities, whether as a result of changes in market conditions, security paydowns, or other factors, reverse repurchase agreement counterparties will typically make a margin call, whereby the Fund will be required to post additional securities and/or cash as collateral with the counterparty in order to re-establish the agreed-upon collateralization requirements. In the event of increases in fair value of the transferred securities, the Fund generally can require the counterparty to post collateral with it in the form of cash or securities. The Fund is generally permitted to sell or re-pledge any securities posted by the counterparty as collateral; however, upon termination of the reverse repurchase agreement, or other circumstance in which the counterparty is no longer required to post such margin, the Fund must return to the counterparty the same security that had been posted. The contractual amount (loan amount) of the Fund's reverse repurchase agreements approximates fair value, based on the short-term nature of the debt and the adequacy of the collateral.</w:t>
      </w:r>
    </w:p>
    <w:p>
      <w:pPr>
        <w:spacing w:after="0" w:line="138"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At any given time, the Fund seeks to have its outstanding borrowings under reverse repurchase agreements with several different counterparties in order to reduce the exposure to any single counterparty. As of September 30, 2025, the Fund had outstanding borrowings under reverse repurchase agreements with six counterparties.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details the Fund's outstanding borrowings under reverse repurchase agreements as of September 30, 2025:</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0" w:type="dxa"/>
            <w:vAlign w:val="bottom"/>
            <w:tcBorders>
              <w:bottom w:val="single" w:sz="8" w:color="auto"/>
            </w:tcBorders>
            <w:gridSpan w:val="3"/>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169"/>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Remaining Days to Maturity</w:t>
            </w: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Borrowings</w:t>
            </w:r>
          </w:p>
        </w:tc>
        <w:tc>
          <w:tcPr>
            <w:tcW w:w="16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1740" w:type="dxa"/>
            <w:vAlign w:val="bottom"/>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rPr>
              <w:t>Remaining Days to</w:t>
            </w:r>
          </w:p>
        </w:tc>
        <w:tc>
          <w:tcPr>
            <w:tcW w:w="0" w:type="dxa"/>
            <w:vAlign w:val="bottom"/>
          </w:tcPr>
          <w:p>
            <w:pPr>
              <w:spacing w:after="0"/>
              <w:rPr>
                <w:sz w:val="1"/>
                <w:szCs w:val="1"/>
                <w:color w:val="auto"/>
              </w:rPr>
            </w:pPr>
          </w:p>
        </w:tc>
      </w:tr>
      <w:tr>
        <w:trPr>
          <w:trHeight w:val="243"/>
        </w:trPr>
        <w:tc>
          <w:tcPr>
            <w:tcW w:w="3880" w:type="dxa"/>
            <w:vAlign w:val="bottom"/>
            <w:vMerge w:val="continue"/>
          </w:tcPr>
          <w:p>
            <w:pPr>
              <w:spacing w:after="0"/>
              <w:rPr>
                <w:sz w:val="21"/>
                <w:szCs w:val="21"/>
                <w:color w:val="auto"/>
              </w:rPr>
            </w:pPr>
          </w:p>
        </w:tc>
        <w:tc>
          <w:tcPr>
            <w:tcW w:w="2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60" w:type="dxa"/>
            <w:vAlign w:val="bottom"/>
            <w:gridSpan w:val="2"/>
            <w:vMerge w:val="continue"/>
          </w:tcPr>
          <w:p>
            <w:pPr>
              <w:spacing w:after="0"/>
              <w:rPr>
                <w:sz w:val="21"/>
                <w:szCs w:val="21"/>
                <w:color w:val="auto"/>
              </w:rPr>
            </w:pPr>
          </w:p>
        </w:tc>
        <w:tc>
          <w:tcPr>
            <w:tcW w:w="17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0" w:type="dxa"/>
            <w:vAlign w:val="bottom"/>
          </w:tcPr>
          <w:p>
            <w:pPr>
              <w:spacing w:after="0"/>
              <w:rPr>
                <w:sz w:val="1"/>
                <w:szCs w:val="1"/>
                <w:color w:val="auto"/>
              </w:rPr>
            </w:pPr>
          </w:p>
        </w:tc>
      </w:tr>
      <w:tr>
        <w:trPr>
          <w:trHeight w:val="190"/>
        </w:trPr>
        <w:tc>
          <w:tcPr>
            <w:tcW w:w="3880" w:type="dxa"/>
            <w:vAlign w:val="bottom"/>
            <w:tcBorders>
              <w:top w:val="single" w:sz="8" w:color="auto"/>
            </w:tcBorders>
          </w:tcPr>
          <w:p>
            <w:pPr>
              <w:spacing w:after="0"/>
              <w:rPr>
                <w:sz w:val="16"/>
                <w:szCs w:val="16"/>
                <w:color w:val="auto"/>
              </w:rPr>
            </w:pPr>
          </w:p>
        </w:tc>
        <w:tc>
          <w:tcPr>
            <w:tcW w:w="23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30 days or less</w:t>
            </w:r>
          </w:p>
        </w:tc>
        <w:tc>
          <w:tcPr>
            <w:tcW w:w="2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4.25 %</w:t>
            </w: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31-60 days</w:t>
            </w:r>
          </w:p>
        </w:tc>
        <w:tc>
          <w:tcPr>
            <w:tcW w:w="2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88,466</w:t>
            </w:r>
          </w:p>
        </w:tc>
        <w:tc>
          <w:tcPr>
            <w:tcW w:w="100" w:type="dxa"/>
            <w:vAlign w:val="bottom"/>
          </w:tcPr>
          <w:p>
            <w:pPr>
              <w:spacing w:after="0"/>
              <w:rPr>
                <w:sz w:val="19"/>
                <w:szCs w:val="19"/>
                <w:color w:val="auto"/>
              </w:rPr>
            </w:pPr>
          </w:p>
        </w:tc>
        <w:tc>
          <w:tcPr>
            <w:tcW w:w="15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61-90 days</w:t>
            </w:r>
          </w:p>
        </w:tc>
        <w:tc>
          <w:tcPr>
            <w:tcW w:w="2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91-120 days</w:t>
            </w:r>
          </w:p>
        </w:tc>
        <w:tc>
          <w:tcPr>
            <w:tcW w:w="2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00" w:type="dxa"/>
            <w:vAlign w:val="bottom"/>
          </w:tcPr>
          <w:p>
            <w:pPr>
              <w:spacing w:after="0"/>
              <w:rPr>
                <w:sz w:val="19"/>
                <w:szCs w:val="19"/>
                <w:color w:val="auto"/>
              </w:rPr>
            </w:pPr>
          </w:p>
        </w:tc>
        <w:tc>
          <w:tcPr>
            <w:tcW w:w="15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121-150 days</w:t>
            </w:r>
          </w:p>
        </w:tc>
        <w:tc>
          <w:tcPr>
            <w:tcW w:w="2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175,333</w:t>
            </w:r>
          </w:p>
        </w:tc>
        <w:tc>
          <w:tcPr>
            <w:tcW w:w="100" w:type="dxa"/>
            <w:vAlign w:val="bottom"/>
          </w:tcPr>
          <w:p>
            <w:pPr>
              <w:spacing w:after="0"/>
              <w:rPr>
                <w:sz w:val="19"/>
                <w:szCs w:val="19"/>
                <w:color w:val="auto"/>
              </w:rPr>
            </w:pPr>
          </w:p>
        </w:tc>
        <w:tc>
          <w:tcPr>
            <w:tcW w:w="15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5.05 %</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3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388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93" w:right="339" w:bottom="1440" w:gutter="0" w:footer="0" w:header="0"/>
        </w:sectPr>
      </w:pPr>
    </w:p>
    <w:bookmarkStart w:id="36" w:name="page37"/>
    <w:bookmarkEnd w:id="36"/>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Reverse repurchase agreements involving underlying investments that the Fund sold prior to period end, for settlement following period end, are shown using their contractual maturity dates even though such reverse repurchase agreements may be expected to be terminated early upon settlement of the sale of the underlying investment.</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September 30, 2025, the fair value of CLOs transferred as collateral under outstanding borrowings under reverse repurchase agreements was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$275.7 million. Additionally, as of September 30, 2025, the Fund posted to (received from) reverse repurchase agreement counterparties net cash collateral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$0.1 million as a result of margin calls with various reverse repurchase agreement counterparties.</w:t>
      </w:r>
    </w:p>
    <w:p>
      <w:pPr>
        <w:spacing w:after="0" w:line="153" w:lineRule="exact"/>
        <w:rPr>
          <w:sz w:val="20"/>
          <w:szCs w:val="20"/>
          <w:color w:val="auto"/>
        </w:rPr>
      </w:pPr>
    </w:p>
    <w:p>
      <w:pPr>
        <w:ind w:right="280" w:firstLine="405"/>
        <w:spacing w:after="0" w:line="264" w:lineRule="auto"/>
        <w:rPr>
          <w:sz w:val="20"/>
          <w:szCs w:val="20"/>
          <w:color w:val="auto"/>
        </w:rPr>
      </w:pPr>
      <w:r>
        <w:rPr>
          <w:rFonts w:ascii="Times New Roman" w:cs="Times New Roman" w:eastAsia="Times New Roman" w:hAnsi="Times New Roman"/>
          <w:sz w:val="18"/>
          <w:szCs w:val="18"/>
          <w:color w:val="auto"/>
        </w:rPr>
        <w:t>Amount at risk represents the excess, if any, for each counterparty of the fair value of collateral held by such counterparty over the amounts outstanding under reverse repurchase agreements. The following table provides details by counterparty for such counterparties for which the amounts at risk relating to our reverse repurchase agreements was greater than 10% of NAV as of September 30, 2025.</w:t>
      </w: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jc w:val="center"/>
              <w:ind w:left="130"/>
              <w:spacing w:after="0" w:line="186"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 of Net Asset</w:t>
            </w:r>
          </w:p>
        </w:tc>
        <w:tc>
          <w:tcPr>
            <w:tcW w:w="0" w:type="dxa"/>
            <w:vAlign w:val="bottom"/>
          </w:tcPr>
          <w:p>
            <w:pPr>
              <w:spacing w:after="0"/>
              <w:rPr>
                <w:sz w:val="1"/>
                <w:szCs w:val="1"/>
                <w:color w:val="auto"/>
              </w:rPr>
            </w:pPr>
          </w:p>
        </w:tc>
      </w:tr>
      <w:tr>
        <w:trPr>
          <w:trHeight w:val="176"/>
        </w:trPr>
        <w:tc>
          <w:tcPr>
            <w:tcW w:w="5440" w:type="dxa"/>
            <w:vAlign w:val="bottom"/>
            <w:gridSpan w:val="2"/>
            <w:vMerge w:val="restart"/>
          </w:tcPr>
          <w:p>
            <w:pPr>
              <w:ind w:left="2160"/>
              <w:spacing w:after="0"/>
              <w:rPr>
                <w:sz w:val="20"/>
                <w:szCs w:val="20"/>
                <w:color w:val="auto"/>
              </w:rPr>
            </w:pPr>
            <w:r>
              <w:rPr>
                <w:rFonts w:ascii="Times New Roman" w:cs="Times New Roman" w:eastAsia="Times New Roman" w:hAnsi="Times New Roman"/>
                <w:sz w:val="18"/>
                <w:szCs w:val="18"/>
                <w:b w:val="1"/>
                <w:bCs w:val="1"/>
                <w:color w:val="auto"/>
              </w:rPr>
              <w:t>Counterparty</w:t>
            </w:r>
          </w:p>
        </w:tc>
        <w:tc>
          <w:tcPr>
            <w:tcW w:w="140" w:type="dxa"/>
            <w:vAlign w:val="bottom"/>
          </w:tcPr>
          <w:p>
            <w:pPr>
              <w:spacing w:after="0"/>
              <w:rPr>
                <w:sz w:val="15"/>
                <w:szCs w:val="15"/>
                <w:color w:val="auto"/>
              </w:rPr>
            </w:pPr>
          </w:p>
        </w:tc>
        <w:tc>
          <w:tcPr>
            <w:tcW w:w="1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Amount at Risk</w:t>
            </w:r>
          </w:p>
        </w:tc>
        <w:tc>
          <w:tcPr>
            <w:tcW w:w="1740" w:type="dxa"/>
            <w:vAlign w:val="bottom"/>
          </w:tcPr>
          <w:p>
            <w:pPr>
              <w:jc w:val="center"/>
              <w:ind w:left="1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 Days to</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vMerge w:val="continue"/>
          </w:tcPr>
          <w:p>
            <w:pPr>
              <w:spacing w:after="0"/>
              <w:rPr>
                <w:sz w:val="21"/>
                <w:szCs w:val="21"/>
                <w:color w:val="auto"/>
              </w:rPr>
            </w:pPr>
          </w:p>
        </w:tc>
        <w:tc>
          <w:tcPr>
            <w:tcW w:w="17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190"/>
        </w:trPr>
        <w:tc>
          <w:tcPr>
            <w:tcW w:w="53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RBC Capital Markets LLC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31,848</w:t>
            </w:r>
          </w:p>
        </w:tc>
        <w:tc>
          <w:tcPr>
            <w:tcW w:w="8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67</w:t>
            </w:r>
          </w:p>
        </w:tc>
        <w:tc>
          <w:tcPr>
            <w:tcW w:w="80" w:type="dxa"/>
            <w:vAlign w:val="bottom"/>
            <w:shd w:val="clear" w:color="auto" w:fill="CCEEFF"/>
          </w:tcPr>
          <w:p>
            <w:pPr>
              <w:spacing w:after="0"/>
              <w:rPr>
                <w:sz w:val="20"/>
                <w:szCs w:val="20"/>
                <w:color w:val="auto"/>
              </w:rPr>
            </w:pPr>
          </w:p>
        </w:tc>
        <w:tc>
          <w:tcPr>
            <w:tcW w:w="210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r>
        <w:trPr>
          <w:trHeight w:val="234"/>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26,215</w:t>
            </w: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51</w:t>
            </w:r>
          </w:p>
        </w:tc>
        <w:tc>
          <w:tcPr>
            <w:tcW w:w="80" w:type="dxa"/>
            <w:vAlign w:val="bottom"/>
          </w:tcPr>
          <w:p>
            <w:pPr>
              <w:spacing w:after="0"/>
              <w:rPr>
                <w:sz w:val="20"/>
                <w:szCs w:val="20"/>
                <w:color w:val="auto"/>
              </w:rPr>
            </w:pPr>
          </w:p>
        </w:tc>
        <w:tc>
          <w:tcPr>
            <w:tcW w:w="21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Offsetting of Assets and Liabilities</w:t>
      </w:r>
    </w:p>
    <w:p>
      <w:pPr>
        <w:spacing w:after="0" w:line="94"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Fund records certain financial instruments at fair value as described in Note 2. In connection with its financial derivatives and reverse repurchase agreements, and related trading agreements, the Fund and its counterparties are required to pledge collateral. Cash or other collateral is exchanged as required with each of the Fund's counterparties in connection with open derivative positions and reverse repurchase agreements.</w:t>
      </w:r>
    </w:p>
    <w:p>
      <w:pPr>
        <w:spacing w:after="0" w:line="122" w:lineRule="exact"/>
        <w:rPr>
          <w:sz w:val="20"/>
          <w:szCs w:val="20"/>
          <w:color w:val="auto"/>
        </w:rPr>
      </w:pPr>
    </w:p>
    <w:p>
      <w:pPr>
        <w:ind w:right="100" w:firstLine="405"/>
        <w:spacing w:after="0" w:line="260" w:lineRule="auto"/>
        <w:rPr>
          <w:sz w:val="20"/>
          <w:szCs w:val="20"/>
          <w:color w:val="auto"/>
        </w:rPr>
      </w:pPr>
      <w:r>
        <w:rPr>
          <w:rFonts w:ascii="Times New Roman" w:cs="Times New Roman" w:eastAsia="Times New Roman" w:hAnsi="Times New Roman"/>
          <w:sz w:val="18"/>
          <w:szCs w:val="18"/>
          <w:color w:val="auto"/>
        </w:rPr>
        <w:t>The following table presents information about certain assets and liabilities representing financial instruments as of September 30, 2025. The Fund has not previously entered into master netting agreements with any of its counterparties. Certain of the Fund's reverse repurchase agreements and financial derivative transactions are governed by underlying agreements that generally provide a right of net settlement, as well as a right of offset in the event of default or in the event of a bankruptcy of either party to the transaction.</w:t>
      </w:r>
    </w:p>
    <w:tbl>
      <w:tblPr>
        <w:tblLayout w:type="fixed"/>
        <w:tblInd w:w="0" w:type="dxa"/>
        <w:tblCellMar>
          <w:top w:w="0" w:type="dxa"/>
          <w:left w:w="0" w:type="dxa"/>
          <w:bottom w:w="0" w:type="dxa"/>
          <w:right w:w="0" w:type="dxa"/>
        </w:tblCellMar>
      </w:tblPr>
      <w:tr>
        <w:trPr>
          <w:trHeight w:val="174"/>
        </w:trPr>
        <w:tc>
          <w:tcPr>
            <w:tcW w:w="3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2"/>
          </w:tcPr>
          <w:p>
            <w:pPr>
              <w:jc w:val="center"/>
              <w:ind w:right="200"/>
              <w:spacing w:after="0" w:line="175" w:lineRule="exact"/>
              <w:rPr>
                <w:sz w:val="20"/>
                <w:szCs w:val="20"/>
                <w:color w:val="auto"/>
              </w:rPr>
            </w:pPr>
            <w:r>
              <w:rPr>
                <w:rFonts w:ascii="Times New Roman" w:cs="Times New Roman" w:eastAsia="Times New Roman" w:hAnsi="Times New Roman"/>
                <w:sz w:val="17"/>
                <w:szCs w:val="17"/>
                <w:b w:val="1"/>
                <w:bCs w:val="1"/>
                <w:color w:val="auto"/>
              </w:rPr>
              <w:t>Amount of Assets</w:t>
            </w:r>
          </w:p>
        </w:tc>
        <w:tc>
          <w:tcPr>
            <w:tcW w:w="160" w:type="dxa"/>
            <w:vAlign w:val="bottom"/>
          </w:tcPr>
          <w:p>
            <w:pPr>
              <w:spacing w:after="0"/>
              <w:rPr>
                <w:sz w:val="15"/>
                <w:szCs w:val="15"/>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Financial</w:t>
            </w:r>
          </w:p>
        </w:tc>
        <w:tc>
          <w:tcPr>
            <w:tcW w:w="1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7"/>
                <w:szCs w:val="17"/>
                <w:b w:val="1"/>
                <w:bCs w:val="1"/>
                <w:color w:val="auto"/>
                <w:w w:val="99"/>
              </w:rPr>
              <w:t>(Liabilities) Presented in</w:t>
            </w:r>
          </w:p>
        </w:tc>
        <w:tc>
          <w:tcPr>
            <w:tcW w:w="1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Financial Instruments</w:t>
            </w:r>
          </w:p>
        </w:tc>
        <w:tc>
          <w:tcPr>
            <w:tcW w:w="13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Cash Collateral</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7"/>
                <w:szCs w:val="17"/>
                <w:b w:val="1"/>
                <w:bCs w:val="1"/>
                <w:color w:val="auto"/>
                <w:w w:val="99"/>
              </w:rPr>
              <w:t>the Consolidated</w:t>
            </w:r>
          </w:p>
        </w:tc>
        <w:tc>
          <w:tcPr>
            <w:tcW w:w="160" w:type="dxa"/>
            <w:vAlign w:val="bottom"/>
          </w:tcPr>
          <w:p>
            <w:pPr>
              <w:spacing w:after="0"/>
              <w:rPr>
                <w:sz w:val="15"/>
                <w:szCs w:val="15"/>
                <w:color w:val="auto"/>
              </w:rPr>
            </w:pPr>
          </w:p>
        </w:tc>
        <w:tc>
          <w:tcPr>
            <w:tcW w:w="13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7"/>
                <w:szCs w:val="17"/>
                <w:b w:val="1"/>
                <w:bCs w:val="1"/>
                <w:color w:val="auto"/>
              </w:rPr>
              <w:t>Instruments</w:t>
            </w:r>
          </w:p>
        </w:tc>
        <w:tc>
          <w:tcPr>
            <w:tcW w:w="160" w:type="dxa"/>
            <w:vAlign w:val="bottom"/>
          </w:tcPr>
          <w:p>
            <w:pPr>
              <w:spacing w:after="0"/>
              <w:rPr>
                <w:sz w:val="15"/>
                <w:szCs w:val="15"/>
                <w:color w:val="auto"/>
              </w:rPr>
            </w:pPr>
          </w:p>
        </w:tc>
        <w:tc>
          <w:tcPr>
            <w:tcW w:w="1980" w:type="dxa"/>
            <w:vAlign w:val="bottom"/>
            <w:gridSpan w:val="2"/>
            <w:vMerge w:val="continue"/>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20" w:type="dxa"/>
            <w:vAlign w:val="bottom"/>
          </w:tcPr>
          <w:p>
            <w:pPr>
              <w:spacing w:after="0"/>
              <w:rPr>
                <w:sz w:val="15"/>
                <w:szCs w:val="15"/>
                <w:color w:val="auto"/>
              </w:rPr>
            </w:pPr>
          </w:p>
        </w:tc>
        <w:tc>
          <w:tcPr>
            <w:tcW w:w="200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7"/>
                <w:szCs w:val="17"/>
                <w:b w:val="1"/>
                <w:bCs w:val="1"/>
                <w:color w:val="auto"/>
              </w:rPr>
              <w:t>Statement of Assets and</w:t>
            </w:r>
          </w:p>
        </w:tc>
        <w:tc>
          <w:tcPr>
            <w:tcW w:w="160" w:type="dxa"/>
            <w:vAlign w:val="bottom"/>
          </w:tcPr>
          <w:p>
            <w:pPr>
              <w:spacing w:after="0"/>
              <w:rPr>
                <w:sz w:val="15"/>
                <w:szCs w:val="15"/>
                <w:color w:val="auto"/>
              </w:rPr>
            </w:pPr>
          </w:p>
        </w:tc>
        <w:tc>
          <w:tcPr>
            <w:tcW w:w="13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7"/>
                <w:szCs w:val="17"/>
                <w:b w:val="1"/>
                <w:bCs w:val="1"/>
                <w:color w:val="auto"/>
                <w:w w:val="98"/>
              </w:rPr>
              <w:t>Available for</w:t>
            </w:r>
          </w:p>
        </w:tc>
        <w:tc>
          <w:tcPr>
            <w:tcW w:w="214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7"/>
                <w:szCs w:val="17"/>
                <w:b w:val="1"/>
                <w:bCs w:val="1"/>
                <w:color w:val="auto"/>
                <w:w w:val="99"/>
              </w:rPr>
              <w:t>Transferred or Pledged as</w:t>
            </w:r>
          </w:p>
        </w:tc>
        <w:tc>
          <w:tcPr>
            <w:tcW w:w="160" w:type="dxa"/>
            <w:vAlign w:val="bottom"/>
          </w:tcPr>
          <w:p>
            <w:pPr>
              <w:spacing w:after="0"/>
              <w:rPr>
                <w:sz w:val="15"/>
                <w:szCs w:val="15"/>
                <w:color w:val="auto"/>
              </w:rPr>
            </w:pPr>
          </w:p>
        </w:tc>
        <w:tc>
          <w:tcPr>
            <w:tcW w:w="11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7"/>
                <w:szCs w:val="17"/>
                <w:b w:val="1"/>
                <w:bCs w:val="1"/>
                <w:color w:val="auto"/>
                <w:w w:val="99"/>
              </w:rPr>
              <w:t>(Received)</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Net Amount</w:t>
            </w:r>
          </w:p>
        </w:tc>
        <w:tc>
          <w:tcPr>
            <w:tcW w:w="0" w:type="dxa"/>
            <w:vAlign w:val="bottom"/>
          </w:tcPr>
          <w:p>
            <w:pPr>
              <w:spacing w:after="0"/>
              <w:rPr>
                <w:sz w:val="1"/>
                <w:szCs w:val="1"/>
                <w:color w:val="auto"/>
              </w:rPr>
            </w:pPr>
          </w:p>
        </w:tc>
      </w:tr>
      <w:tr>
        <w:trPr>
          <w:trHeight w:val="229"/>
        </w:trPr>
        <w:tc>
          <w:tcPr>
            <w:tcW w:w="31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2"/>
          </w:tcPr>
          <w:p>
            <w:pPr>
              <w:jc w:val="center"/>
              <w:ind w:right="220"/>
              <w:spacing w:after="0" w:line="229" w:lineRule="exact"/>
              <w:rPr>
                <w:sz w:val="20"/>
                <w:szCs w:val="20"/>
                <w:color w:val="auto"/>
              </w:rPr>
            </w:pPr>
            <w:r>
              <w:rPr>
                <w:rFonts w:ascii="Times New Roman" w:cs="Times New Roman" w:eastAsia="Times New Roman" w:hAnsi="Times New Roman"/>
                <w:sz w:val="17"/>
                <w:szCs w:val="17"/>
                <w:b w:val="1"/>
                <w:bCs w:val="1"/>
                <w:color w:val="auto"/>
                <w:w w:val="95"/>
              </w:rPr>
              <w:t>Liabilities</w:t>
            </w:r>
            <w:r>
              <w:rPr>
                <w:rFonts w:ascii="Times New Roman" w:cs="Times New Roman" w:eastAsia="Times New Roman" w:hAnsi="Times New Roman"/>
                <w:sz w:val="22"/>
                <w:szCs w:val="22"/>
                <w:b w:val="1"/>
                <w:bCs w:val="1"/>
                <w:color w:val="auto"/>
                <w:w w:val="95"/>
                <w:vertAlign w:val="superscript"/>
              </w:rPr>
              <w:t>(1)</w:t>
            </w:r>
          </w:p>
        </w:tc>
        <w:tc>
          <w:tcPr>
            <w:tcW w:w="16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Offset</w:t>
            </w:r>
          </w:p>
        </w:tc>
        <w:tc>
          <w:tcPr>
            <w:tcW w:w="160" w:type="dxa"/>
            <w:vAlign w:val="bottom"/>
          </w:tcPr>
          <w:p>
            <w:pPr>
              <w:spacing w:after="0"/>
              <w:rPr>
                <w:sz w:val="19"/>
                <w:szCs w:val="19"/>
                <w:color w:val="auto"/>
              </w:rPr>
            </w:pPr>
          </w:p>
        </w:tc>
        <w:tc>
          <w:tcPr>
            <w:tcW w:w="1980" w:type="dxa"/>
            <w:vAlign w:val="bottom"/>
            <w:gridSpan w:val="2"/>
          </w:tcPr>
          <w:p>
            <w:pPr>
              <w:jc w:val="center"/>
              <w:ind w:right="260"/>
              <w:spacing w:after="0" w:line="229" w:lineRule="exact"/>
              <w:rPr>
                <w:sz w:val="20"/>
                <w:szCs w:val="20"/>
                <w:color w:val="auto"/>
              </w:rPr>
            </w:pPr>
            <w:r>
              <w:rPr>
                <w:rFonts w:ascii="Times New Roman" w:cs="Times New Roman" w:eastAsia="Times New Roman" w:hAnsi="Times New Roman"/>
                <w:sz w:val="17"/>
                <w:szCs w:val="17"/>
                <w:b w:val="1"/>
                <w:bCs w:val="1"/>
                <w:color w:val="auto"/>
                <w:w w:val="93"/>
              </w:rPr>
              <w:t>Collateral</w:t>
            </w:r>
            <w:r>
              <w:rPr>
                <w:rFonts w:ascii="Times New Roman" w:cs="Times New Roman" w:eastAsia="Times New Roman" w:hAnsi="Times New Roman"/>
                <w:sz w:val="22"/>
                <w:szCs w:val="22"/>
                <w:b w:val="1"/>
                <w:bCs w:val="1"/>
                <w:color w:val="auto"/>
                <w:w w:val="93"/>
                <w:vertAlign w:val="superscript"/>
              </w:rPr>
              <w:t>(2)(3)</w:t>
            </w:r>
          </w:p>
        </w:tc>
        <w:tc>
          <w:tcPr>
            <w:tcW w:w="160" w:type="dxa"/>
            <w:vAlign w:val="bottom"/>
          </w:tcPr>
          <w:p>
            <w:pPr>
              <w:spacing w:after="0"/>
              <w:rPr>
                <w:sz w:val="19"/>
                <w:szCs w:val="19"/>
                <w:color w:val="auto"/>
              </w:rPr>
            </w:pPr>
          </w:p>
        </w:tc>
        <w:tc>
          <w:tcPr>
            <w:tcW w:w="1160" w:type="dxa"/>
            <w:vAlign w:val="bottom"/>
            <w:gridSpan w:val="2"/>
          </w:tcPr>
          <w:p>
            <w:pPr>
              <w:jc w:val="center"/>
              <w:ind w:right="240"/>
              <w:spacing w:after="0" w:line="229" w:lineRule="exact"/>
              <w:rPr>
                <w:sz w:val="20"/>
                <w:szCs w:val="20"/>
                <w:color w:val="auto"/>
              </w:rPr>
            </w:pPr>
            <w:r>
              <w:rPr>
                <w:rFonts w:ascii="Times New Roman" w:cs="Times New Roman" w:eastAsia="Times New Roman" w:hAnsi="Times New Roman"/>
                <w:sz w:val="17"/>
                <w:szCs w:val="17"/>
                <w:b w:val="1"/>
                <w:bCs w:val="1"/>
                <w:color w:val="auto"/>
                <w:w w:val="91"/>
              </w:rPr>
              <w:t>Pledged</w:t>
            </w:r>
            <w:r>
              <w:rPr>
                <w:rFonts w:ascii="Times New Roman" w:cs="Times New Roman" w:eastAsia="Times New Roman" w:hAnsi="Times New Roman"/>
                <w:sz w:val="22"/>
                <w:szCs w:val="22"/>
                <w:b w:val="1"/>
                <w:bCs w:val="1"/>
                <w:color w:val="auto"/>
                <w:w w:val="91"/>
                <w:vertAlign w:val="superscript"/>
              </w:rPr>
              <w:t>(2)(3)</w:t>
            </w: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Financial derivatives–assets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center"/>
              <w:ind w:left="793"/>
              <w:spacing w:after="0"/>
              <w:rPr>
                <w:sz w:val="20"/>
                <w:szCs w:val="20"/>
                <w:color w:val="auto"/>
              </w:rPr>
            </w:pPr>
            <w:r>
              <w:rPr>
                <w:rFonts w:ascii="Times New Roman" w:cs="Times New Roman" w:eastAsia="Times New Roman" w:hAnsi="Times New Roman"/>
                <w:sz w:val="18"/>
                <w:szCs w:val="18"/>
                <w:color w:val="auto"/>
                <w:w w:val="99"/>
              </w:rPr>
              <w:t>(33)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3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Financial derivatives–liabilities</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833"/>
              <w:spacing w:after="0"/>
              <w:rPr>
                <w:sz w:val="20"/>
                <w:szCs w:val="20"/>
                <w:color w:val="auto"/>
              </w:rPr>
            </w:pPr>
            <w:r>
              <w:rPr>
                <w:rFonts w:ascii="Times New Roman" w:cs="Times New Roman" w:eastAsia="Times New Roman" w:hAnsi="Times New Roman"/>
                <w:sz w:val="18"/>
                <w:szCs w:val="18"/>
                <w:color w:val="auto"/>
                <w:w w:val="99"/>
              </w:rPr>
              <w:t>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Reverse repurchase agreements</w:t>
            </w:r>
          </w:p>
        </w:tc>
        <w:tc>
          <w:tcPr>
            <w:tcW w:w="1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left="733"/>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Fund's Consolidated Statement of Assets and Liabilities, all balances associated with reverse repurchase agreements and financial derivatives are presented on a gross basis.</w:t>
      </w:r>
    </w:p>
    <w:p>
      <w:pPr>
        <w:spacing w:after="0" w:line="27" w:lineRule="exact"/>
        <w:rPr>
          <w:rFonts w:ascii="Times New Roman" w:cs="Times New Roman" w:eastAsia="Times New Roman" w:hAnsi="Times New Roman"/>
          <w:sz w:val="14"/>
          <w:szCs w:val="14"/>
          <w:color w:val="auto"/>
        </w:rPr>
      </w:pPr>
    </w:p>
    <w:p>
      <w:pPr>
        <w:ind w:left="340" w:right="20" w:hanging="332"/>
        <w:spacing w:after="0" w:line="258" w:lineRule="auto"/>
        <w:tabs>
          <w:tab w:leader="none" w:pos="33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 of this presentation, for each row the total amount of financial instruments transferred or pledged and cash collateral (received) or pledged may not exceed the applicable gross amount of assets or (liabilities) as presented here. Therefore, the Fund has reduced the amount of financial instruments transferred or pledged as collateral related to the Fund's reverse repurchase agreements and cash collateral pledged on the Fund's financial derivative assets and liabilities. As of September 30, 2025, the fair value of financial instruments transferred or pledged as collateral on the Fund's reverse repurchase agreements, net of the fair value of any financial instruments received by the Fund as the result of margin calls, were $275.7 million. As of September 30, 2025, total cash collateral (received) pledged on financial derivative assets and financial derivative liabilities excludes $3 thousand and $2.4 million, respectively, of net excess cash collateral.</w:t>
      </w:r>
    </w:p>
    <w:p>
      <w:pPr>
        <w:spacing w:after="0" w:line="1" w:lineRule="exact"/>
        <w:rPr>
          <w:rFonts w:ascii="Times New Roman" w:cs="Times New Roman" w:eastAsia="Times New Roman" w:hAnsi="Times New Roman"/>
          <w:sz w:val="14"/>
          <w:szCs w:val="14"/>
          <w:color w:val="auto"/>
        </w:rPr>
      </w:pPr>
    </w:p>
    <w:p>
      <w:pPr>
        <w:ind w:left="340" w:right="180" w:hanging="332"/>
        <w:spacing w:after="0" w:line="262" w:lineRule="auto"/>
        <w:tabs>
          <w:tab w:leader="none" w:pos="33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collateral is pledged to or pledged by a counterparty, it is often pledged or posted with respect to all positions with such counterparty, and in such cases such collateral cannot be specifically identified as relating to a particular asset or liability. As a result, in preparing the above table, the Fund has made assumptions in allocating pledged or posted collateral among the various rows.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09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7. Common Shares</w:t>
      </w:r>
    </w:p>
    <w:p>
      <w:pPr>
        <w:spacing w:after="0" w:line="94"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The Fund has authorized unlimited common shares of beneficial interest, no par value; as of September 30, 2025, there were 37,567,849 common shares outstanding.</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Detailed below is a roll forward of the Fund's common shares outstanding for the six-month period ended September 30, 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Six-Month</w:t>
            </w:r>
          </w:p>
        </w:tc>
      </w:tr>
      <w:tr>
        <w:trPr>
          <w:trHeight w:val="180"/>
        </w:trPr>
        <w:tc>
          <w:tcPr>
            <w:tcW w:w="9220" w:type="dxa"/>
            <w:vAlign w:val="bottom"/>
          </w:tcPr>
          <w:p>
            <w:pPr>
              <w:spacing w:after="0"/>
              <w:rPr>
                <w:sz w:val="15"/>
                <w:szCs w:val="15"/>
                <w:color w:val="auto"/>
              </w:rPr>
            </w:pPr>
          </w:p>
        </w:tc>
        <w:tc>
          <w:tcPr>
            <w:tcW w:w="202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Period Ended September</w:t>
            </w:r>
          </w:p>
        </w:tc>
      </w:tr>
      <w:tr>
        <w:trPr>
          <w:trHeight w:val="238"/>
        </w:trPr>
        <w:tc>
          <w:tcPr>
            <w:tcW w:w="9220" w:type="dxa"/>
            <w:vAlign w:val="bottom"/>
            <w:tcBorders>
              <w:bottom w:val="single" w:sz="8" w:color="CCEEFF"/>
            </w:tcBorders>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30, 2025</w:t>
            </w:r>
          </w:p>
        </w:tc>
      </w:tr>
      <w:tr>
        <w:trPr>
          <w:trHeight w:val="223"/>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Outstanding—April 1, 2025</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37,559,195</w:t>
            </w:r>
          </w:p>
        </w:tc>
      </w:tr>
      <w:tr>
        <w:trPr>
          <w:trHeight w:val="22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Activity:</w:t>
            </w:r>
          </w:p>
        </w:tc>
        <w:tc>
          <w:tcPr>
            <w:tcW w:w="2020" w:type="dxa"/>
            <w:vAlign w:val="bottom"/>
          </w:tcPr>
          <w:p>
            <w:pPr>
              <w:spacing w:after="0"/>
              <w:rPr>
                <w:sz w:val="19"/>
                <w:szCs w:val="19"/>
                <w:color w:val="auto"/>
              </w:rPr>
            </w:pPr>
          </w:p>
        </w:tc>
      </w:tr>
      <w:tr>
        <w:trPr>
          <w:trHeight w:val="229"/>
        </w:trPr>
        <w:tc>
          <w:tcPr>
            <w:tcW w:w="9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shares issued under DRIP</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8,654</w:t>
            </w:r>
          </w:p>
        </w:tc>
      </w:tr>
      <w:tr>
        <w:trPr>
          <w:trHeight w:val="223"/>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Shares Outstanding—September 30, 2025</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37,567,849</w:t>
            </w:r>
          </w:p>
        </w:tc>
      </w:tr>
      <w:tr>
        <w:trPr>
          <w:trHeight w:val="20"/>
        </w:trPr>
        <w:tc>
          <w:tcPr>
            <w:tcW w:w="92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23"/>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shares outstanding—September 30, 2025</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39,577</w:t>
            </w:r>
          </w:p>
        </w:tc>
      </w:tr>
    </w:tbl>
    <w:p>
      <w:pPr>
        <w:spacing w:after="0" w:line="238" w:lineRule="exact"/>
        <w:rPr>
          <w:sz w:val="20"/>
          <w:szCs w:val="20"/>
          <w:color w:val="auto"/>
        </w:rPr>
      </w:pPr>
    </w:p>
    <w:p>
      <w:pPr>
        <w:ind w:right="280" w:firstLine="405"/>
        <w:spacing w:after="0" w:line="264" w:lineRule="auto"/>
        <w:rPr>
          <w:sz w:val="20"/>
          <w:szCs w:val="20"/>
          <w:color w:val="auto"/>
        </w:rPr>
      </w:pPr>
      <w:r>
        <w:rPr>
          <w:rFonts w:ascii="Times New Roman" w:cs="Times New Roman" w:eastAsia="Times New Roman" w:hAnsi="Times New Roman"/>
          <w:sz w:val="18"/>
          <w:szCs w:val="18"/>
          <w:color w:val="auto"/>
        </w:rPr>
        <w:t>As discussed in Note 1, as a result of the Conversion, the Fund adopted ASC 946 and changed its fiscal year end. Prior to the Conversion the Fund had authorized 500,000,000 common shares, $0.01 par value per share. Detailed below is a roll forward of the Fund's common shares outstanding for periods prior to April 1, 2025:</w:t>
      </w: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1740" w:type="dxa"/>
            <w:vAlign w:val="bottom"/>
            <w:gridSpan w:val="2"/>
          </w:tcPr>
          <w:p>
            <w:pPr>
              <w:jc w:val="center"/>
              <w:ind w:right="80"/>
              <w:spacing w:after="0" w:line="186" w:lineRule="exact"/>
              <w:rPr>
                <w:sz w:val="20"/>
                <w:szCs w:val="20"/>
                <w:color w:val="auto"/>
              </w:rPr>
            </w:pPr>
            <w:r>
              <w:rPr>
                <w:rFonts w:ascii="Times New Roman" w:cs="Times New Roman" w:eastAsia="Times New Roman" w:hAnsi="Times New Roman"/>
                <w:sz w:val="18"/>
                <w:szCs w:val="18"/>
                <w:b w:val="1"/>
                <w:bCs w:val="1"/>
                <w:color w:val="auto"/>
                <w:w w:val="99"/>
              </w:rPr>
              <w:t>Three-Month Period</w:t>
            </w: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w:t>
            </w:r>
          </w:p>
        </w:tc>
        <w:tc>
          <w:tcPr>
            <w:tcW w:w="0" w:type="dxa"/>
            <w:vAlign w:val="bottom"/>
          </w:tcPr>
          <w:p>
            <w:pPr>
              <w:spacing w:after="0"/>
              <w:rPr>
                <w:sz w:val="1"/>
                <w:szCs w:val="1"/>
                <w:color w:val="auto"/>
              </w:rPr>
            </w:pPr>
          </w:p>
        </w:tc>
      </w:tr>
      <w:tr>
        <w:trPr>
          <w:trHeight w:val="176"/>
        </w:trPr>
        <w:tc>
          <w:tcPr>
            <w:tcW w:w="7600" w:type="dxa"/>
            <w:vAlign w:val="bottom"/>
          </w:tcPr>
          <w:p>
            <w:pPr>
              <w:spacing w:after="0"/>
              <w:rPr>
                <w:sz w:val="15"/>
                <w:szCs w:val="15"/>
                <w:color w:val="auto"/>
              </w:rPr>
            </w:pPr>
          </w:p>
        </w:tc>
        <w:tc>
          <w:tcPr>
            <w:tcW w:w="17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Ended March 31,</w:t>
            </w:r>
          </w:p>
        </w:tc>
        <w:tc>
          <w:tcPr>
            <w:tcW w:w="1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760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0" w:type="dxa"/>
            <w:vAlign w:val="bottom"/>
          </w:tcPr>
          <w:p>
            <w:pPr>
              <w:spacing w:after="0"/>
              <w:rPr>
                <w:sz w:val="1"/>
                <w:szCs w:val="1"/>
                <w:color w:val="auto"/>
              </w:rPr>
            </w:pPr>
          </w:p>
        </w:tc>
      </w:tr>
      <w:tr>
        <w:trPr>
          <w:trHeight w:val="22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Outstanding—December 31, 2024 and 2023, respectively</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29,651,553</w:t>
            </w: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18,601,464</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Activity:</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Common shares issued</w:t>
            </w:r>
            <w:r>
              <w:rPr>
                <w:rFonts w:ascii="Times New Roman" w:cs="Times New Roman" w:eastAsia="Times New Roman" w:hAnsi="Times New Roman"/>
                <w:sz w:val="23"/>
                <w:szCs w:val="23"/>
                <w:color w:val="auto"/>
                <w:vertAlign w:val="superscript"/>
              </w:rPr>
              <w:t>(1)</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8,075,118</w:t>
            </w: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10,964,023</w:t>
            </w:r>
          </w:p>
        </w:tc>
        <w:tc>
          <w:tcPr>
            <w:tcW w:w="0" w:type="dxa"/>
            <w:vAlign w:val="bottom"/>
          </w:tcPr>
          <w:p>
            <w:pPr>
              <w:spacing w:after="0"/>
              <w:rPr>
                <w:sz w:val="1"/>
                <w:szCs w:val="1"/>
                <w:color w:val="auto"/>
              </w:rPr>
            </w:pPr>
          </w:p>
        </w:tc>
      </w:tr>
      <w:tr>
        <w:trPr>
          <w:trHeight w:val="229"/>
        </w:trPr>
        <w:tc>
          <w:tcPr>
            <w:tcW w:w="76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Restricted common shares issued</w:t>
            </w:r>
            <w:r>
              <w:rPr>
                <w:rFonts w:ascii="Times New Roman" w:cs="Times New Roman" w:eastAsia="Times New Roman" w:hAnsi="Times New Roman"/>
                <w:sz w:val="23"/>
                <w:szCs w:val="23"/>
                <w:color w:val="auto"/>
                <w:vertAlign w:val="superscript"/>
              </w:rPr>
              <w:t>(2)</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90,229</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Common shares repurchased</w:t>
            </w:r>
            <w:r>
              <w:rPr>
                <w:rFonts w:ascii="Times New Roman" w:cs="Times New Roman" w:eastAsia="Times New Roman" w:hAnsi="Times New Roman"/>
                <w:sz w:val="23"/>
                <w:szCs w:val="23"/>
                <w:color w:val="auto"/>
                <w:vertAlign w:val="superscript"/>
              </w:rPr>
              <w:t>(3)</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(167,476)</w:t>
            </w: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Forfeiture of common shares to satisfy tax withholding obligations</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0" w:type="dxa"/>
            <w:vAlign w:val="bottom"/>
          </w:tcPr>
          <w:p>
            <w:pPr>
              <w:spacing w:after="0"/>
              <w:rPr>
                <w:sz w:val="1"/>
                <w:szCs w:val="1"/>
                <w:color w:val="auto"/>
              </w:rPr>
            </w:pPr>
          </w:p>
        </w:tc>
      </w:tr>
      <w:tr>
        <w:trPr>
          <w:trHeight w:val="248"/>
        </w:trPr>
        <w:tc>
          <w:tcPr>
            <w:tcW w:w="7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Outstanding—March 31, 2025 and December 31, 2024, respectively</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37,559,195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29,651,553</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Unvested restricted shares outstanding—March 31, 2025 and December 31, 2024, respectively</w:t>
            </w: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600" w:type="dxa"/>
            <w:vAlign w:val="bottom"/>
            <w:vMerge w:val="continue"/>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39,577</w:t>
            </w:r>
          </w:p>
        </w:tc>
        <w:tc>
          <w:tcPr>
            <w:tcW w:w="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62,729</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under an “at the market” offering program which was terminated upon the Conversion.</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under an equity incentive plan which was terminated upon the Conversion.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Repurchased under a share repurchase program which was terminated upon the Conversion.</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below table provides details on the Fund's restricted common shares granted pursuant to share award agreements which are unvested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Grant Recipient</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Restricted Shares</w:t>
            </w:r>
          </w:p>
        </w:tc>
        <w:tc>
          <w:tcPr>
            <w:tcW w:w="2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Vesting Date</w:t>
            </w:r>
            <w:r>
              <w:rPr>
                <w:rFonts w:ascii="Times New Roman" w:cs="Times New Roman" w:eastAsia="Times New Roman" w:hAnsi="Times New Roman"/>
                <w:sz w:val="23"/>
                <w:szCs w:val="23"/>
                <w:b w:val="1"/>
                <w:bCs w:val="1"/>
                <w:color w:val="auto"/>
                <w:w w:val="94"/>
                <w:vertAlign w:val="superscript"/>
              </w:rPr>
              <w:t>(1)</w:t>
            </w:r>
          </w:p>
        </w:tc>
        <w:tc>
          <w:tcPr>
            <w:tcW w:w="0" w:type="dxa"/>
            <w:vAlign w:val="bottom"/>
          </w:tcPr>
          <w:p>
            <w:pPr>
              <w:spacing w:after="0"/>
              <w:rPr>
                <w:sz w:val="1"/>
                <w:szCs w:val="1"/>
                <w:color w:val="auto"/>
              </w:rPr>
            </w:pPr>
          </w:p>
        </w:tc>
      </w:tr>
      <w:tr>
        <w:trPr>
          <w:trHeight w:val="243"/>
        </w:trPr>
        <w:tc>
          <w:tcPr>
            <w:tcW w:w="4380" w:type="dxa"/>
            <w:vAlign w:val="bottom"/>
            <w:gridSpan w:val="2"/>
            <w:vMerge w:val="continue"/>
          </w:tcPr>
          <w:p>
            <w:pPr>
              <w:spacing w:after="0"/>
              <w:rPr>
                <w:sz w:val="21"/>
                <w:szCs w:val="21"/>
                <w:color w:val="auto"/>
              </w:rPr>
            </w:pP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2200" w:type="dxa"/>
            <w:vAlign w:val="bottom"/>
            <w:gridSpan w:val="2"/>
            <w:vMerge w:val="continue"/>
          </w:tcPr>
          <w:p>
            <w:pPr>
              <w:spacing w:after="0"/>
              <w:rPr>
                <w:sz w:val="21"/>
                <w:szCs w:val="21"/>
                <w:color w:val="auto"/>
              </w:rPr>
            </w:pPr>
          </w:p>
        </w:tc>
        <w:tc>
          <w:tcPr>
            <w:tcW w:w="2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Partially dedicated employees:</w:t>
            </w:r>
          </w:p>
        </w:tc>
        <w:tc>
          <w:tcPr>
            <w:tcW w:w="10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7,236</w:t>
            </w:r>
          </w:p>
        </w:tc>
        <w:tc>
          <w:tcPr>
            <w:tcW w:w="100" w:type="dxa"/>
            <w:vAlign w:val="bottom"/>
          </w:tcPr>
          <w:p>
            <w:pPr>
              <w:spacing w:after="0"/>
              <w:rPr>
                <w:sz w:val="19"/>
                <w:szCs w:val="19"/>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December 14, 2023</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14, 2025</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17,350</w:t>
            </w:r>
          </w:p>
        </w:tc>
        <w:tc>
          <w:tcPr>
            <w:tcW w:w="100" w:type="dxa"/>
            <w:vAlign w:val="bottom"/>
            <w:shd w:val="clear" w:color="auto" w:fill="CCEEFF"/>
          </w:tcPr>
          <w:p>
            <w:pPr>
              <w:spacing w:after="0"/>
              <w:rPr>
                <w:sz w:val="19"/>
                <w:szCs w:val="19"/>
                <w:color w:val="auto"/>
              </w:rPr>
            </w:pPr>
          </w:p>
        </w:tc>
        <w:tc>
          <w:tcPr>
            <w:tcW w:w="2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December 20, 2024</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12, 2025</w:t>
            </w: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14,991</w:t>
            </w:r>
          </w:p>
        </w:tc>
        <w:tc>
          <w:tcPr>
            <w:tcW w:w="100" w:type="dxa"/>
            <w:vAlign w:val="bottom"/>
          </w:tcPr>
          <w:p>
            <w:pPr>
              <w:spacing w:after="0"/>
              <w:rPr>
                <w:sz w:val="20"/>
                <w:szCs w:val="20"/>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December 20, 2024</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12, 2026</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20" w:hanging="312"/>
        <w:spacing w:after="0"/>
        <w:tabs>
          <w:tab w:leader="none" w:pos="3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Date at which such restricted shares will vest and become non-forfeitable.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089" w:right="339" w:bottom="1440" w:gutter="0" w:footer="0" w:header="0"/>
        </w:sectPr>
      </w:pPr>
    </w:p>
    <w:bookmarkStart w:id="38" w:name="page39"/>
    <w:bookmarkEnd w:id="38"/>
    <w:p>
      <w:pPr>
        <w:ind w:left="420"/>
        <w:spacing w:after="0"/>
        <w:rPr>
          <w:sz w:val="20"/>
          <w:szCs w:val="20"/>
          <w:color w:val="auto"/>
        </w:rPr>
      </w:pPr>
      <w:r>
        <w:rPr>
          <w:rFonts w:ascii="Times New Roman" w:cs="Times New Roman" w:eastAsia="Times New Roman" w:hAnsi="Times New Roman"/>
          <w:sz w:val="18"/>
          <w:szCs w:val="18"/>
          <w:color w:val="auto"/>
        </w:rPr>
        <w:t>The below table provides details on the Fund's distributions for the six-month period ended September 30, 2025:</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Distribution Per</w:t>
            </w:r>
          </w:p>
        </w:tc>
        <w:tc>
          <w:tcPr>
            <w:tcW w:w="120" w:type="dxa"/>
            <w:vAlign w:val="bottom"/>
          </w:tcPr>
          <w:p>
            <w:pPr>
              <w:spacing w:after="0"/>
              <w:rPr>
                <w:sz w:val="17"/>
                <w:szCs w:val="17"/>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Cash</w:t>
            </w:r>
          </w:p>
        </w:tc>
        <w:tc>
          <w:tcPr>
            <w:tcW w:w="12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Value of DRIP</w:t>
            </w:r>
          </w:p>
        </w:tc>
        <w:tc>
          <w:tcPr>
            <w:tcW w:w="160" w:type="dxa"/>
            <w:vAlign w:val="bottom"/>
          </w:tcPr>
          <w:p>
            <w:pPr>
              <w:spacing w:after="0"/>
              <w:rPr>
                <w:sz w:val="17"/>
                <w:szCs w:val="17"/>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DRIP Shares</w:t>
            </w:r>
          </w:p>
        </w:tc>
        <w:tc>
          <w:tcPr>
            <w:tcW w:w="100" w:type="dxa"/>
            <w:vAlign w:val="bottom"/>
          </w:tcPr>
          <w:p>
            <w:pPr>
              <w:spacing w:after="0"/>
              <w:rPr>
                <w:sz w:val="17"/>
                <w:szCs w:val="17"/>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DRIP Share</w:t>
            </w:r>
          </w:p>
        </w:tc>
        <w:tc>
          <w:tcPr>
            <w:tcW w:w="0" w:type="dxa"/>
            <w:vAlign w:val="bottom"/>
          </w:tcPr>
          <w:p>
            <w:pPr>
              <w:spacing w:after="0"/>
              <w:rPr>
                <w:sz w:val="1"/>
                <w:szCs w:val="1"/>
                <w:color w:val="auto"/>
              </w:rPr>
            </w:pPr>
          </w:p>
        </w:tc>
      </w:tr>
      <w:tr>
        <w:trPr>
          <w:trHeight w:val="174"/>
        </w:trPr>
        <w:tc>
          <w:tcPr>
            <w:tcW w:w="1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Record Date</w:t>
            </w:r>
          </w:p>
        </w:tc>
        <w:tc>
          <w:tcPr>
            <w:tcW w:w="1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Payment Date</w:t>
            </w:r>
          </w:p>
        </w:tc>
        <w:tc>
          <w:tcPr>
            <w:tcW w:w="13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71"/>
              <w:spacing w:after="0" w:line="174" w:lineRule="exact"/>
              <w:rPr>
                <w:sz w:val="20"/>
                <w:szCs w:val="20"/>
                <w:color w:val="auto"/>
              </w:rPr>
            </w:pPr>
            <w:r>
              <w:rPr>
                <w:rFonts w:ascii="Times New Roman" w:cs="Times New Roman" w:eastAsia="Times New Roman" w:hAnsi="Times New Roman"/>
                <w:sz w:val="17"/>
                <w:szCs w:val="17"/>
                <w:b w:val="1"/>
                <w:bCs w:val="1"/>
                <w:color w:val="auto"/>
              </w:rPr>
              <w:t>Issuance</w:t>
            </w:r>
          </w:p>
        </w:tc>
        <w:tc>
          <w:tcPr>
            <w:tcW w:w="0" w:type="dxa"/>
            <w:vAlign w:val="bottom"/>
          </w:tcPr>
          <w:p>
            <w:pPr>
              <w:spacing w:after="0"/>
              <w:rPr>
                <w:sz w:val="1"/>
                <w:szCs w:val="1"/>
                <w:color w:val="auto"/>
              </w:rPr>
            </w:pPr>
          </w:p>
        </w:tc>
      </w:tr>
      <w:tr>
        <w:trPr>
          <w:trHeight w:val="229"/>
        </w:trPr>
        <w:tc>
          <w:tcPr>
            <w:tcW w:w="1920" w:type="dxa"/>
            <w:vAlign w:val="bottom"/>
            <w:gridSpan w:val="2"/>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Common Share</w:t>
            </w:r>
          </w:p>
        </w:tc>
        <w:tc>
          <w:tcPr>
            <w:tcW w:w="120" w:type="dxa"/>
            <w:vAlign w:val="bottom"/>
          </w:tcPr>
          <w:p>
            <w:pPr>
              <w:spacing w:after="0"/>
              <w:rPr>
                <w:sz w:val="19"/>
                <w:szCs w:val="19"/>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Distribution</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Shares Issued</w:t>
            </w:r>
          </w:p>
        </w:tc>
        <w:tc>
          <w:tcPr>
            <w:tcW w:w="16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Distribution</w:t>
            </w: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7"/>
                <w:szCs w:val="17"/>
                <w:b w:val="1"/>
                <w:bCs w:val="1"/>
                <w:color w:val="auto"/>
              </w:rPr>
              <w:t>Issued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center"/>
              <w:ind w:right="51"/>
              <w:spacing w:after="0"/>
              <w:rPr>
                <w:sz w:val="20"/>
                <w:szCs w:val="20"/>
                <w:color w:val="auto"/>
              </w:rPr>
            </w:pPr>
            <w:r>
              <w:rPr>
                <w:rFonts w:ascii="Times New Roman" w:cs="Times New Roman" w:eastAsia="Times New Roman" w:hAnsi="Times New Roman"/>
                <w:sz w:val="17"/>
                <w:szCs w:val="17"/>
                <w:b w:val="1"/>
                <w:bCs w:val="1"/>
                <w:color w:val="auto"/>
              </w:rPr>
              <w:t>Price</w:t>
            </w:r>
          </w:p>
        </w:tc>
        <w:tc>
          <w:tcPr>
            <w:tcW w:w="0" w:type="dxa"/>
            <w:vAlign w:val="bottom"/>
          </w:tcPr>
          <w:p>
            <w:pPr>
              <w:spacing w:after="0"/>
              <w:rPr>
                <w:sz w:val="1"/>
                <w:szCs w:val="1"/>
                <w:color w:val="auto"/>
              </w:rPr>
            </w:pPr>
          </w:p>
        </w:tc>
      </w:tr>
      <w:tr>
        <w:trPr>
          <w:trHeight w:val="191"/>
        </w:trPr>
        <w:tc>
          <w:tcPr>
            <w:tcW w:w="1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April 30, 2025</w:t>
            </w:r>
          </w:p>
        </w:tc>
        <w:tc>
          <w:tcPr>
            <w:tcW w:w="1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May 27, 2025</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May 30, 2025</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30, 2025</w:t>
            </w: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30, 2025</w:t>
            </w:r>
          </w:p>
        </w:tc>
        <w:tc>
          <w:tcPr>
            <w:tcW w:w="19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July 31, 2025</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July 31, 2025</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August 29, 2025</w:t>
            </w: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30"/>
        </w:trPr>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August 29, 2025</w:t>
            </w:r>
          </w:p>
        </w:tc>
        <w:tc>
          <w:tcPr>
            <w:tcW w:w="1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29"/>
        </w:trPr>
        <w:tc>
          <w:tcPr>
            <w:tcW w:w="192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190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October 31, 2025</w:t>
            </w:r>
          </w:p>
        </w:tc>
        <w:tc>
          <w:tcPr>
            <w:tcW w:w="4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48"/>
        </w:trPr>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18,077</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Policy</w:t>
      </w:r>
    </w:p>
    <w:p>
      <w:pPr>
        <w:spacing w:after="0" w:line="94"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timing and frequency of distributions will be determined by the Board based upon a variety of factors deemed relevant by the Fund's trustees, including restrictions under applicable law, the RIC distribution rules, and capital requirements of the Fund. As discussed in Note 2, the Fund has elected mark-to-market treatment under Section 475(f) of the Code. As a result, distributions to shareholders generally will be taxable as ordinary income, although a portion of such distributions may be designated as long-term capital gain or qualified dividend income, or may constitute a return of capital. The Fund will furnish annually to each shareholder a statement setting forth distributions paid or deemed paid during the preceding year and their U.S. federal income tax treatment.</w:t>
      </w:r>
    </w:p>
    <w:p>
      <w:pPr>
        <w:spacing w:after="0" w:line="210" w:lineRule="exact"/>
        <w:rPr>
          <w:sz w:val="20"/>
          <w:szCs w:val="20"/>
          <w:color w:val="auto"/>
        </w:rPr>
      </w:pPr>
    </w:p>
    <w:p>
      <w:pPr>
        <w:ind w:left="260" w:right="8960" w:hanging="252"/>
        <w:spacing w:after="0" w:line="367" w:lineRule="auto"/>
        <w:tabs>
          <w:tab w:leader="none" w:pos="197" w:val="left"/>
        </w:tabs>
        <w:numPr>
          <w:ilvl w:val="0"/>
          <w:numId w:val="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 Investment Advisor</w:t>
      </w: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Fund and the Adviser are parties to the Advisory Agreement (the "Advisory Agreement") which became effective upon the Conversion. Pursuant to the terms of the Advisory Agreement, the Adviser is responsible for managing the Fund’s investment program, including identifying, structuring, executing, monitoring, and servicing the Fund’s investments, and for providing such personnel and related services as it deems necessary or useful to perform these duties. The Fund does not have any employees.</w:t>
      </w:r>
    </w:p>
    <w:p>
      <w:pPr>
        <w:spacing w:after="0" w:line="126"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Under the terms of the Advisory Agreement, the Adviser receives a quarterly base management fee in an amount equal to 1.50% per annum of the Fund's NAV, calculated as the Fund's total assets minus its total liabilities (the "Base Management Fee"). The Base Management Fee is payable quarterly in arrears. For the six-month period ended September 30, 2025, the total base management fee incurred was $1.7 million.</w:t>
      </w:r>
    </w:p>
    <w:p>
      <w:pPr>
        <w:spacing w:after="0" w:line="122"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In addition to the Base Management Fee, pursuant to the Advisory Agreement, the Fund will pay the Adviser a performance fee (the "Performance Fee"). The Performance Fee is calculated and payable quarterly in arrears based upon the Fund's Pre-Performance Fee Net Investment Income, with respect to each fiscal quarter. Pre-Performance Fee Net Investment Income for any fiscal quarter means, interest income (including accretions of discounts, amortization of premiums, and payment-in-kind income), dividend income, and any other income (including any fee income) earned or accrued by the Fund during such fiscal quarter, minus the Fund’s operating expenses for such quarter (which, for this purpose, will not include any litigation-related expenses, any extraordinary expenses, or Performance Fee). Pre-Performance Fee Net Investment Income does not include any realized capital gains, realized capital losses or unrealized capital appreciation or depreciation. For purposes of computing Pre-Performance Fee Net Investment Income, the calculation methodology will look through total return swaps as if the Fund owned the referenced assets directly. As a result, Pre-Performance Fee Net Investment Income includes net interest (whether positive or negative) associated with a total return swap, which is the difference between (a) the interest income and transaction fees related to the reference assets and (b) all interest and other expenses paid by the Fund to the total return swap counterparty. In the case of an interest rate swap, Pre-Performance Fee Net Investment Income includes the net payments and net accruals of periodic payments. The Performance Fee is subject to a hurdle rate of 2.00% per quarter, or 8.00% per annum (the "Hurdle Rate"), and is subject to a "catch-up" feature. Specifically:</w:t>
      </w:r>
    </w:p>
    <w:p>
      <w:pPr>
        <w:spacing w:after="0" w:line="133" w:lineRule="exact"/>
        <w:rPr>
          <w:sz w:val="20"/>
          <w:szCs w:val="20"/>
          <w:color w:val="auto"/>
        </w:rPr>
      </w:pPr>
    </w:p>
    <w:p>
      <w:pPr>
        <w:ind w:left="660" w:right="18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Fund’s Pre-Performance Fee Net Investment Income for a fiscal quarter does not exceed the result obtained by multiplying the NAV attributable to common equity at the end of the immediately preceding fiscal quarter by the Hurdle Rate (the "Hurdle Amount") for such quarter, then no Performance Fee is payable to the Adviser with respect to such quarter;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093" w:right="339" w:bottom="1440" w:gutter="0" w:footer="0" w:header="0"/>
        </w:sectPr>
      </w:pPr>
    </w:p>
    <w:bookmarkStart w:id="39" w:name="page40"/>
    <w:bookmarkEnd w:id="39"/>
    <w:p>
      <w:pPr>
        <w:ind w:left="660" w:right="20" w:hanging="328"/>
        <w:spacing w:after="0" w:line="254"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Fund’s Pre-Performance Fee Net Investment Income for a fiscal quarter exceeds the Hurdle Amount for such quarter but is less than or equal to 121.21% of the Hurdle Amount, then 100% of the portion of the Fund’s Pre-Performance Fee Net Investment Income that exceeds the Hurdle Amount (the “Catch-Up”) is payable to the Adviser as the Performance Fee with respect to such quarter. Therefore, once the Fund’s Pre-Performance Fee Net Investment Income for such quarter exactly reaches 121.21% of the Hurdle Amount, the Adviser will have accrued a Performance Fee with respect to such quarter that is exactly equal to 17.5% of the Pre-Performance Fee Net Investment Income (because 21.21% of the Hurdle Amount (which is the Pre-Performance Fee Net Investment Income captured by the Adviser during the Catch-Up phase) is equal to 17.5% of 121.21% of the Hurdle Amount (which is the entire Pre-Performance Fee Net Investment Income at the end of the Catch-Up phase)); and</w:t>
      </w:r>
    </w:p>
    <w:p>
      <w:pPr>
        <w:spacing w:after="0" w:line="13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Fund’s Pre-Performance Fee Net Investment Income for a fiscal quarter exceeds 121.21% of the Hurdle Amount for such quarter, then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 of the Fund’s Pre-Performance Fee Net Investment Income is payable to the Adviser as the Performance Fee with respect to such quarter.</w:t>
      </w:r>
    </w:p>
    <w:p>
      <w:pPr>
        <w:spacing w:after="0" w:line="153"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With respect to the Performance Fee, there will be no accumulation of the Hurdle Amount from quarter to quarter, no claw back of amounts previously paid if the Pre-Performance Fee Net Investment Income in any subsequent quarter is below the Hurdle Amount for such subsequent quarter, and no delay or adjustment of payment if the Pre-Performance Fee Net Investment Income in any prior quarter was below the Hurdle Amount for such prior quarter.</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six-month period ended September 30, 2025, the Fund incurred performance fees of $3.2 million.</w:t>
      </w:r>
    </w:p>
    <w:p>
      <w:pPr>
        <w:spacing w:after="0" w:line="17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Advisory Agreement has an initial term of two years. Thereafter, unless the Fund or the Adviser exercise its respective termination rights, the Advisory Agreement will renew annually so long as such continuance shall be approved at least annually by (a) the vote of the Fund’s Board, or by the vote of a majority of the outstanding voting securities of the Fund and (b) the vote of a majority of the Fund’s Trustees who are not parties to the Advisory Agreement or “interested persons” (as such term is defined in Section 2(a)(19) of the 1940 Act) of any such party, in accordance with the requirements of the 1940 Act.</w:t>
      </w:r>
    </w:p>
    <w:p>
      <w:pPr>
        <w:spacing w:after="0" w:line="129"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Under the terms of the Advisory Agreement, the Fund is required to reimburse the Adviser for certain operating expenses related to the Fund that are incurred by the Adviser, including expenses relating to legal, accounting, due diligence, other services, and other costs and expenses. The Fund's reimbursement obligation is not subject to any dollar limitation.</w:t>
      </w:r>
    </w:p>
    <w:p>
      <w:pPr>
        <w:spacing w:after="0" w:line="122"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During the six-month period ended September 30, 2025, the Fund reimbursed the Adviser $2.4 million, for previously incurred operating expenses. As of September 30, 2025, the outstanding payable to the Adviser for operating expenses was $1.1 million which is included in Accrued expenses and other liabilities on the Consolidated Statement of Assets and Liabilities.</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Administrator</w:t>
      </w:r>
    </w:p>
    <w:p>
      <w:pPr>
        <w:spacing w:after="0" w:line="94"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The Fund has entered into an administration agreement (the “Administration Agreement”) with Ellington Credit Company Administrator LLC (the “Administrator”). Pursuant to the Administration Agreement, the Administrator furnishes the Fund with office facilities, equipment and clerical, bookkeeping and record keeping services at such facilities. Under the Administration Agreement, the Administrator also performs, or oversees the performance of, its required administrative services, which include, among other things, being responsible for the financial records which the Fund is required to maintain and preparing reports to its shareholders. In addition, the Administrator assists the Fund in determining and publishing its NAV, oversees the preparation and filing of its tax returns and the printing and dissemination of reports to its shareholders, and generally oversees the payment of its expenses and the performance of administrative and professional services rendered to the Fund by others. Payments under the Administration Agreement are equal to an amount based upon its allocable portion of the Administrator’s costs and expenses incurred in performing its obligations and providing personnel (including wages, salaries, bonuses, benefits, and related payroll expenses) under the Administration Agreement, including rent, office supplies, the fees and expenses associated with performing compliance functions, and the Fund’s allocable portion of the costs of compensation and related expenses of the Fund’s Chief Financial Officer, Chief Operating Officer, and their respective support staff. The Administrator has delegated certain accounting and administrative services to an unrelated third-party. To the extent the Administrator outsources any of its functions, the Fund pays the fees on a direct basis, without profit to the Administrator. The Administration Agreement may be terminated by the Fund without penalty upon not less than 60 days’ written notice to the Administrator and by the Administrator upon not less than 90 days’ written notice to the Fund. The Administration Agreement will remain in effect if approved by the Board, including by a majority of the Independent Trustees, on an annual basis.</w:t>
      </w:r>
    </w:p>
    <w:p>
      <w:pPr>
        <w:spacing w:after="0" w:line="142"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When considering the approval of the Administration Agreement, the Board considers, among other factors, (i) the reasonableness of the compensation paid by us to the Administrator and any third-party service providers in light of the services provided, the quality of such services, any cost savings to us as a result of the arrangements and any conflicts of interest, (ii) the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093" w:right="339" w:bottom="1440" w:gutter="0" w:footer="0" w:header="0"/>
        </w:sectPr>
      </w:pPr>
    </w:p>
    <w:bookmarkStart w:id="40" w:name="page41"/>
    <w:bookmarkEnd w:id="40"/>
    <w:p>
      <w:pPr>
        <w:ind w:right="200"/>
        <w:spacing w:after="0" w:line="266" w:lineRule="auto"/>
        <w:rPr>
          <w:sz w:val="20"/>
          <w:szCs w:val="20"/>
          <w:color w:val="auto"/>
        </w:rPr>
      </w:pPr>
      <w:r>
        <w:rPr>
          <w:rFonts w:ascii="Times New Roman" w:cs="Times New Roman" w:eastAsia="Times New Roman" w:hAnsi="Times New Roman"/>
          <w:sz w:val="18"/>
          <w:szCs w:val="18"/>
          <w:color w:val="auto"/>
        </w:rPr>
        <w:t>methodology employed by the Administrator in determining how certain expenses are allocated to the Fund, (iii) the breadth, depth and quality of such administrative services provided, (iv) certain comparative information on expenses borne by other companies for somewhat similar services known to be available and (v) the possibility of obtaining such services from a third-party.</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Services Agreement</w:t>
      </w:r>
    </w:p>
    <w:p>
      <w:pPr>
        <w:spacing w:after="0" w:line="9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Adviser, the Administrator, and EMG are parties to a services agreement, pursuant to which EMG is required to provide the Adviser sufficient personnel, services, and resources to enable the Adviser to carry out its obligations and responsibilities under the Advisory Agreement. The Fund is a named third-party beneficiary to the services agreement and, as a result, has, as a non-exclusive remedy, a direct right of action against EMG in the event of any breach by the Adviser of any of its duties, obligations, or agreements under the Advisory Agreement that arise out of or result from any breach by EMG of its obligations under the services agreement. The services agreement will terminate upon the termination of the Advisory Agreement. Pursuant to the services agreement, the Adviser makes certain payments to EMG in connection with the services provided. The Adviser and EMG have overlapping ownership and are under common control.</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Transactions with Affiliates and Co-Investments</w:t>
      </w:r>
    </w:p>
    <w:p>
      <w:pPr>
        <w:spacing w:after="0" w:line="94"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and to the extent permitted by the 1940 Act and other applicable law, the Fund may enter into transactions with persons affiliated with it by reason of common control of the Adviser, the Administrator or their affiliates, including EMG. To ensure compliance with applicable regulations, the Fund has adopted certain policies and procedures requiring its executive officers to review transactions for potential affiliations among the Fund, the Adviser the Administrator, and their respective affiliates, employees, officers, and directors. The Fund will not enter into such transactions unless satisfied that doing so is consistent with the 1940 Act, applicable SEC rules, interpretations or guidance or the terms of any exemptive relief granted to it. Because of these affiliations, the Fund may be required to forgo certain investment opportunities, including investments in CLOs managed by Adviser affiliates.</w:t>
      </w:r>
    </w:p>
    <w:p>
      <w:pPr>
        <w:spacing w:after="0" w:line="135"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In certain instances, the Fund may co-invest concurrently with other accounts managed by the Adviser, Ellington or certain of the Adviser’s affiliates, subject to compliance with applicable regulations, regulatory guidance, and the Adviser’s allocation procedures. On August 12, 2025, the SEC issued an exemptive order permitting the Fund, the Adviser, and certain of its affiliates participate in certain co-investment transactions alongside affiliate persons that would otherwise be prohibited under the 1940 Act (the “Co-Investment Exemptive Order”). As required by the Co-Investment Exemptive Order, the Fund has adopted, and the Board has approved, policies and procedures reasonably designed to ensure compliance with its terms, and the Adviser and the Fund’s Chief Compliance Officer provide regular reports to the Board regarding the Fund’s co-investment activities. Co-investments made under order are subject to certain conditions and requirements, which could limit the Fund’s ability to participate in specific transactions. As a result, there may be significant overlap among the Fund’s investments and those of affiliated Ellington entities that could avail themselves of the exemptive relief and that have investment objectives similar to ours. The Fund may also co-invest with funds managed by Ellington or its affiliates, subject to applicable regulations, regulatory guidance, and the Adviser’s allocation policy. A copy of the Co-Investment Exemptive Order, including all of the conditions and the related order, is available on the SEC’s website at www.sec.gov.</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94"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From time to time, the Fund may become involved in various claims and legal actions arising in the ordinary course of business. The Fund provides current trustees and officers with a limited indemnification against liabilities arising in connection with the performance of their duties to the Fund. As of September 30, 2025, the Fund is not currently subject to any material legal proceedings, nor, to the Fund’s knowledge, is any material legal proceeding threatened against the Fund.</w:t>
      </w:r>
    </w:p>
    <w:p>
      <w:pPr>
        <w:spacing w:after="0" w:line="126"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Fund may also enter into contracts that contain a variety of representations, warranties, and general indemnifications. The Fund's maximum exposure under these arrangements, including future claims that may be made against the Fund that have not yet occurred, is unknown. The Fund has not incurred any costs to defend lawsuits or settle claims related to these indemnification agreements. The Fund has no liabilities recorded for these agreements as of September 30, 2025 and management is not aware of any significant contingencies.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20"/>
          </w:cols>
          <w:pgMar w:left="320" w:top="1093" w:right="35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8"/>
        </w:trPr>
        <w:tc>
          <w:tcPr>
            <w:tcW w:w="8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10. Financial Highlights </w:t>
            </w:r>
            <w:r>
              <w:rPr>
                <w:rFonts w:ascii="Times New Roman" w:cs="Times New Roman" w:eastAsia="Times New Roman" w:hAnsi="Times New Roman"/>
                <w:sz w:val="18"/>
                <w:szCs w:val="18"/>
                <w:b w:val="1"/>
                <w:bCs w:val="1"/>
                <w:i w:val="1"/>
                <w:iCs w:val="1"/>
                <w:color w:val="auto"/>
              </w:rPr>
              <w:t>(Unaudited)</w:t>
            </w:r>
          </w:p>
        </w:tc>
        <w:tc>
          <w:tcPr>
            <w:tcW w:w="26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203"/>
        </w:trPr>
        <w:tc>
          <w:tcPr>
            <w:tcW w:w="8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tcPr>
          <w:p>
            <w:pPr>
              <w:jc w:val="center"/>
              <w:ind w:right="19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Six-Month</w:t>
            </w:r>
          </w:p>
        </w:tc>
      </w:tr>
      <w:tr>
        <w:trPr>
          <w:trHeight w:val="180"/>
        </w:trPr>
        <w:tc>
          <w:tcPr>
            <w:tcW w:w="8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00" w:type="dxa"/>
            <w:vAlign w:val="bottom"/>
          </w:tcPr>
          <w:p>
            <w:pPr>
              <w:jc w:val="center"/>
              <w:ind w:right="170"/>
              <w:spacing w:after="0" w:line="180" w:lineRule="exact"/>
              <w:rPr>
                <w:sz w:val="20"/>
                <w:szCs w:val="20"/>
                <w:color w:val="auto"/>
              </w:rPr>
            </w:pPr>
            <w:r>
              <w:rPr>
                <w:rFonts w:ascii="Times New Roman" w:cs="Times New Roman" w:eastAsia="Times New Roman" w:hAnsi="Times New Roman"/>
                <w:sz w:val="18"/>
                <w:szCs w:val="18"/>
                <w:b w:val="1"/>
                <w:bCs w:val="1"/>
                <w:color w:val="auto"/>
                <w:w w:val="98"/>
              </w:rPr>
              <w:t>Period Ended</w:t>
            </w:r>
          </w:p>
        </w:tc>
      </w:tr>
      <w:tr>
        <w:trPr>
          <w:trHeight w:val="238"/>
        </w:trPr>
        <w:tc>
          <w:tcPr>
            <w:tcW w:w="88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September 30, 2025</w:t>
            </w:r>
          </w:p>
        </w:tc>
      </w:tr>
      <w:tr>
        <w:trPr>
          <w:trHeight w:val="210"/>
        </w:trPr>
        <w:tc>
          <w:tcPr>
            <w:tcW w:w="888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PER SHARE DATA</w:t>
            </w:r>
            <w:r>
              <w:rPr>
                <w:rFonts w:ascii="Times New Roman" w:cs="Times New Roman" w:eastAsia="Times New Roman" w:hAnsi="Times New Roman"/>
                <w:sz w:val="23"/>
                <w:szCs w:val="23"/>
                <w:b w:val="1"/>
                <w:bCs w:val="1"/>
                <w:color w:val="auto"/>
                <w:vertAlign w:val="superscript"/>
              </w:rPr>
              <w:t>(1)</w:t>
            </w:r>
          </w:p>
        </w:tc>
        <w:tc>
          <w:tcPr>
            <w:tcW w:w="2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229"/>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 value per share—Beginning of period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6.08</w:t>
            </w:r>
          </w:p>
        </w:tc>
      </w:tr>
      <w:tr>
        <w:trPr>
          <w:trHeight w:val="229"/>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net assets resulting from operations:</w:t>
            </w:r>
          </w:p>
        </w:tc>
        <w:tc>
          <w:tcPr>
            <w:tcW w:w="26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r>
      <w:tr>
        <w:trPr>
          <w:trHeight w:val="230"/>
        </w:trPr>
        <w:tc>
          <w:tcPr>
            <w:tcW w:w="8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investment income</w:t>
            </w:r>
          </w:p>
        </w:tc>
        <w:tc>
          <w:tcPr>
            <w:tcW w:w="260" w:type="dxa"/>
            <w:vAlign w:val="bottom"/>
          </w:tcPr>
          <w:p>
            <w:pPr>
              <w:spacing w:after="0"/>
              <w:rPr>
                <w:sz w:val="19"/>
                <w:szCs w:val="19"/>
                <w:color w:val="auto"/>
              </w:rPr>
            </w:pPr>
          </w:p>
        </w:tc>
        <w:tc>
          <w:tcPr>
            <w:tcW w:w="2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0.40</w:t>
            </w:r>
          </w:p>
        </w:tc>
      </w:tr>
      <w:tr>
        <w:trPr>
          <w:trHeight w:val="229"/>
        </w:trPr>
        <w:tc>
          <w:tcPr>
            <w:tcW w:w="8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realized and unrealized appreciation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(0.01)</w:t>
            </w:r>
          </w:p>
        </w:tc>
      </w:tr>
      <w:tr>
        <w:trPr>
          <w:trHeight w:val="223"/>
        </w:trPr>
        <w:tc>
          <w:tcPr>
            <w:tcW w:w="8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net increase (decrease) in net assets resulting from operations</w:t>
            </w:r>
          </w:p>
        </w:tc>
        <w:tc>
          <w:tcPr>
            <w:tcW w:w="2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0.39</w:t>
            </w:r>
          </w:p>
        </w:tc>
      </w:tr>
      <w:tr>
        <w:trPr>
          <w:trHeight w:val="209"/>
        </w:trPr>
        <w:tc>
          <w:tcPr>
            <w:tcW w:w="888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Distributions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229"/>
        </w:trPr>
        <w:tc>
          <w:tcPr>
            <w:tcW w:w="8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Distributions to common shareholders—Earnings</w:t>
            </w:r>
          </w:p>
        </w:tc>
        <w:tc>
          <w:tcPr>
            <w:tcW w:w="260" w:type="dxa"/>
            <w:vAlign w:val="bottom"/>
          </w:tcPr>
          <w:p>
            <w:pPr>
              <w:spacing w:after="0"/>
              <w:rPr>
                <w:sz w:val="19"/>
                <w:szCs w:val="19"/>
                <w:color w:val="auto"/>
              </w:rPr>
            </w:pPr>
          </w:p>
        </w:tc>
        <w:tc>
          <w:tcPr>
            <w:tcW w:w="2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(0.41)</w:t>
            </w:r>
          </w:p>
        </w:tc>
      </w:tr>
      <w:tr>
        <w:trPr>
          <w:trHeight w:val="230"/>
        </w:trPr>
        <w:tc>
          <w:tcPr>
            <w:tcW w:w="8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Distributions to common shareholders—Return of capital</w:t>
            </w:r>
          </w:p>
        </w:tc>
        <w:tc>
          <w:tcPr>
            <w:tcW w:w="26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(0.07)</w:t>
            </w:r>
          </w:p>
        </w:tc>
      </w:tr>
      <w:tr>
        <w:trPr>
          <w:trHeight w:val="223"/>
        </w:trPr>
        <w:tc>
          <w:tcPr>
            <w:tcW w:w="8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distributions</w:t>
            </w:r>
          </w:p>
        </w:tc>
        <w:tc>
          <w:tcPr>
            <w:tcW w:w="2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(0.48)</w:t>
            </w:r>
          </w:p>
        </w:tc>
      </w:tr>
      <w:tr>
        <w:trPr>
          <w:trHeight w:val="223"/>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 value per share—End of period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5.99</w:t>
            </w:r>
          </w:p>
        </w:tc>
      </w:tr>
      <w:tr>
        <w:trPr>
          <w:trHeight w:val="229"/>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 share market value—Beginning of period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5.41</w:t>
            </w:r>
          </w:p>
        </w:tc>
      </w:tr>
      <w:tr>
        <w:trPr>
          <w:trHeight w:val="23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market value—End of period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5.45</w:t>
            </w:r>
          </w:p>
        </w:tc>
      </w:tr>
      <w:tr>
        <w:trPr>
          <w:trHeight w:val="229"/>
        </w:trPr>
        <w:tc>
          <w:tcPr>
            <w:tcW w:w="88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Total return based on market value</w:t>
            </w:r>
            <w:r>
              <w:rPr>
                <w:rFonts w:ascii="Times New Roman" w:cs="Times New Roman" w:eastAsia="Times New Roman" w:hAnsi="Times New Roman"/>
                <w:sz w:val="23"/>
                <w:szCs w:val="23"/>
                <w:color w:val="auto"/>
                <w:vertAlign w:val="superscript"/>
              </w:rPr>
              <w:t>(3)</w:t>
            </w:r>
          </w:p>
        </w:tc>
        <w:tc>
          <w:tcPr>
            <w:tcW w:w="26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10.04 %</w:t>
            </w:r>
          </w:p>
        </w:tc>
      </w:tr>
      <w:tr>
        <w:trPr>
          <w:trHeight w:val="230"/>
        </w:trPr>
        <w:tc>
          <w:tcPr>
            <w:tcW w:w="8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Total return based on net asset value</w:t>
            </w:r>
            <w:r>
              <w:rPr>
                <w:rFonts w:ascii="Times New Roman" w:cs="Times New Roman" w:eastAsia="Times New Roman" w:hAnsi="Times New Roman"/>
                <w:sz w:val="23"/>
                <w:szCs w:val="23"/>
                <w:color w:val="auto"/>
                <w:vertAlign w:val="superscript"/>
              </w:rPr>
              <w:t>(4)</w:t>
            </w:r>
          </w:p>
        </w:tc>
        <w:tc>
          <w:tcPr>
            <w:tcW w:w="26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7.61 %</w:t>
            </w:r>
          </w:p>
        </w:tc>
      </w:tr>
      <w:tr>
        <w:trPr>
          <w:trHeight w:val="229"/>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outstanding—End of period</w:t>
            </w:r>
          </w:p>
        </w:tc>
        <w:tc>
          <w:tcPr>
            <w:tcW w:w="260" w:type="dxa"/>
            <w:vAlign w:val="bottom"/>
          </w:tcPr>
          <w:p>
            <w:pPr>
              <w:spacing w:after="0"/>
              <w:rPr>
                <w:sz w:val="19"/>
                <w:szCs w:val="19"/>
                <w:color w:val="auto"/>
              </w:rPr>
            </w:pPr>
          </w:p>
        </w:tc>
        <w:tc>
          <w:tcPr>
            <w:tcW w:w="2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37,567,849</w:t>
            </w:r>
          </w:p>
        </w:tc>
      </w:tr>
      <w:tr>
        <w:trPr>
          <w:trHeight w:val="229"/>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RATIOS/SUPPLEMENTAL DATA</w:t>
            </w:r>
          </w:p>
        </w:tc>
        <w:tc>
          <w:tcPr>
            <w:tcW w:w="26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r>
      <w:tr>
        <w:trPr>
          <w:trHeight w:val="230"/>
        </w:trPr>
        <w:tc>
          <w:tcPr>
            <w:tcW w:w="88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Net asset value—End of period</w:t>
            </w:r>
            <w:r>
              <w:rPr>
                <w:rFonts w:ascii="Times New Roman" w:cs="Times New Roman" w:eastAsia="Times New Roman" w:hAnsi="Times New Roman"/>
                <w:sz w:val="23"/>
                <w:szCs w:val="23"/>
                <w:color w:val="auto"/>
                <w:vertAlign w:val="superscript"/>
              </w:rPr>
              <w:t>(5)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225,087</w:t>
            </w:r>
          </w:p>
        </w:tc>
      </w:tr>
      <w:tr>
        <w:trPr>
          <w:trHeight w:val="229"/>
        </w:trPr>
        <w:tc>
          <w:tcPr>
            <w:tcW w:w="8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Ratio of expenses to average net assets</w:t>
            </w:r>
            <w:r>
              <w:rPr>
                <w:rFonts w:ascii="Times New Roman" w:cs="Times New Roman" w:eastAsia="Times New Roman" w:hAnsi="Times New Roman"/>
                <w:sz w:val="23"/>
                <w:szCs w:val="23"/>
                <w:color w:val="auto"/>
                <w:vertAlign w:val="superscript"/>
              </w:rPr>
              <w:t>(6)</w:t>
            </w:r>
          </w:p>
        </w:tc>
        <w:tc>
          <w:tcPr>
            <w:tcW w:w="26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9.48 %</w:t>
            </w:r>
          </w:p>
        </w:tc>
      </w:tr>
      <w:tr>
        <w:trPr>
          <w:trHeight w:val="230"/>
        </w:trPr>
        <w:tc>
          <w:tcPr>
            <w:tcW w:w="88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Ratio of expenses before performance fees to average net assets</w:t>
            </w:r>
            <w:r>
              <w:rPr>
                <w:rFonts w:ascii="Times New Roman" w:cs="Times New Roman" w:eastAsia="Times New Roman" w:hAnsi="Times New Roman"/>
                <w:sz w:val="23"/>
                <w:szCs w:val="23"/>
                <w:color w:val="auto"/>
                <w:vertAlign w:val="superscript"/>
              </w:rPr>
              <w:t>(6)</w:t>
            </w:r>
          </w:p>
        </w:tc>
        <w:tc>
          <w:tcPr>
            <w:tcW w:w="26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6.69 %</w:t>
            </w:r>
          </w:p>
        </w:tc>
      </w:tr>
      <w:tr>
        <w:trPr>
          <w:trHeight w:val="230"/>
        </w:trPr>
        <w:tc>
          <w:tcPr>
            <w:tcW w:w="8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Ratio of expenses before performance fees and interest expense to average net assets</w:t>
            </w:r>
            <w:r>
              <w:rPr>
                <w:rFonts w:ascii="Times New Roman" w:cs="Times New Roman" w:eastAsia="Times New Roman" w:hAnsi="Times New Roman"/>
                <w:sz w:val="23"/>
                <w:szCs w:val="23"/>
                <w:color w:val="auto"/>
                <w:vertAlign w:val="superscript"/>
              </w:rPr>
              <w:t>(6)</w:t>
            </w:r>
          </w:p>
        </w:tc>
        <w:tc>
          <w:tcPr>
            <w:tcW w:w="26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3.47 %</w:t>
            </w:r>
          </w:p>
        </w:tc>
      </w:tr>
      <w:tr>
        <w:trPr>
          <w:trHeight w:val="229"/>
        </w:trPr>
        <w:tc>
          <w:tcPr>
            <w:tcW w:w="88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Ratio of net investment income to average net assets</w:t>
            </w:r>
            <w:r>
              <w:rPr>
                <w:rFonts w:ascii="Times New Roman" w:cs="Times New Roman" w:eastAsia="Times New Roman" w:hAnsi="Times New Roman"/>
                <w:sz w:val="23"/>
                <w:szCs w:val="23"/>
                <w:color w:val="auto"/>
                <w:vertAlign w:val="superscript"/>
              </w:rPr>
              <w:t>(6)</w:t>
            </w:r>
          </w:p>
        </w:tc>
        <w:tc>
          <w:tcPr>
            <w:tcW w:w="26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13.16 %</w:t>
            </w:r>
          </w:p>
        </w:tc>
      </w:tr>
      <w:tr>
        <w:trPr>
          <w:trHeight w:val="230"/>
        </w:trPr>
        <w:tc>
          <w:tcPr>
            <w:tcW w:w="8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Portfolio turnover rate</w:t>
            </w:r>
            <w:r>
              <w:rPr>
                <w:rFonts w:ascii="Times New Roman" w:cs="Times New Roman" w:eastAsia="Times New Roman" w:hAnsi="Times New Roman"/>
                <w:sz w:val="23"/>
                <w:szCs w:val="23"/>
                <w:color w:val="auto"/>
                <w:vertAlign w:val="superscript"/>
              </w:rPr>
              <w:t>(7)</w:t>
            </w:r>
          </w:p>
        </w:tc>
        <w:tc>
          <w:tcPr>
            <w:tcW w:w="26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53.18 %</w:t>
            </w:r>
          </w:p>
        </w:tc>
      </w:tr>
    </w:tbl>
    <w:p>
      <w:pPr>
        <w:spacing w:after="0" w:line="153"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share amounts are calculated based on the average shares outstanding during the period.</w:t>
      </w:r>
    </w:p>
    <w:p>
      <w:pPr>
        <w:spacing w:after="0" w:line="17" w:lineRule="exact"/>
        <w:rPr>
          <w:rFonts w:ascii="Times New Roman" w:cs="Times New Roman" w:eastAsia="Times New Roman" w:hAnsi="Times New Roman"/>
          <w:sz w:val="14"/>
          <w:szCs w:val="14"/>
          <w:color w:val="auto"/>
        </w:rPr>
      </w:pPr>
    </w:p>
    <w:p>
      <w:pPr>
        <w:ind w:left="340" w:right="60" w:hanging="332"/>
        <w:spacing w:after="0" w:line="260" w:lineRule="auto"/>
        <w:tabs>
          <w:tab w:leader="none" w:pos="33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Fund monitors its available taxable earnings including expected mark-to-market gains and losses under Section 475(f) of the Code to determine if a tax return of capital may occur for the period. To the extent the Fund’s taxable earnings fall below the total amount of the Fund’s distributions for that fiscal year, a portion of those distributions may be deemed a tax return of capital to the Fund’s shareholders. The ultimate tax character of the Fund’s earnings cannot be determined until tax returns are prepared after the end of the fiscal year.</w:t>
      </w:r>
    </w:p>
    <w:p>
      <w:pPr>
        <w:ind w:left="340" w:right="80" w:hanging="332"/>
        <w:spacing w:after="0" w:line="254" w:lineRule="auto"/>
        <w:tabs>
          <w:tab w:leader="none" w:pos="33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 based on market value is calculated assuming that common shares of the Fund were purchased at the market price as of the beginning of the period, and distributions paid to common shareholders during the period were reinvested at prices obtained by the Fund’s DRIP and the total number of shares were sold at the closing market price per share on the last day of the period. Total return does not reflect any sales commissions investors may incur in purchasing or selling shares of the Fund and is not annualized for a period of less than one year.</w:t>
      </w:r>
    </w:p>
    <w:p>
      <w:pPr>
        <w:spacing w:after="0" w:line="1" w:lineRule="exact"/>
        <w:rPr>
          <w:rFonts w:ascii="Times New Roman" w:cs="Times New Roman" w:eastAsia="Times New Roman" w:hAnsi="Times New Roman"/>
          <w:sz w:val="14"/>
          <w:szCs w:val="14"/>
          <w:color w:val="auto"/>
        </w:rPr>
      </w:pPr>
    </w:p>
    <w:p>
      <w:pPr>
        <w:jc w:val="both"/>
        <w:ind w:left="340" w:right="240" w:hanging="332"/>
        <w:spacing w:after="0" w:line="261" w:lineRule="auto"/>
        <w:tabs>
          <w:tab w:leader="none" w:pos="33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 based on NAV is calculated assuming that common shares of the Fund were purchased at the NAV per share at the beginning of the period, and distributions paid to common shareholders during the period were reinvested at prices obtained by the Fund’s DRIP, and the total number of shares were sold at the Fund’s NAV per share on the last day of the period. Total return does not reflect any sales commissions investors may incur in purchasing or selling shares of the Fund and is not annualized for a period of less than one year.</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Shown in thousands.</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Shown on an annualized basis.</w:t>
      </w:r>
    </w:p>
    <w:p>
      <w:pPr>
        <w:spacing w:after="0" w:line="11" w:lineRule="exact"/>
        <w:rPr>
          <w:rFonts w:ascii="Times New Roman" w:cs="Times New Roman" w:eastAsia="Times New Roman" w:hAnsi="Times New Roman"/>
          <w:sz w:val="14"/>
          <w:szCs w:val="14"/>
          <w:color w:val="auto"/>
        </w:rPr>
      </w:pPr>
    </w:p>
    <w:p>
      <w:pPr>
        <w:ind w:left="340" w:right="40" w:hanging="332"/>
        <w:spacing w:after="0" w:line="283" w:lineRule="auto"/>
        <w:tabs>
          <w:tab w:leader="none" w:pos="33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turnover rate is calculated using the lesser of purchases or sales and repayments for the six-month period ended September 30, 2025 of investments divided by the monthly average of the fair value of total investments.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Subsequent Events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92"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On October 7, 2025, the Board approved a monthly distribution in the amount of $0.08 per share payable on November 28, 2025 to shareholders of record as of October 31, 2025.</w:t>
      </w:r>
    </w:p>
    <w:p>
      <w:pPr>
        <w:spacing w:after="0" w:line="108"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On November 10, 2025, the Board approved a monthly distribution in the amount of $0.08 per share payable on December 31, 2025 to shareholders of record as of November 28, 2025.</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17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94"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The value of the Fund’s assets, as well as the market price of its securities, will fluctuate. The Fund’s investments should be considered risky, and investors may lose all or part of their investment in the Fund. Investors should consider their financial situation and needs, other investments, investment goals, investment experience, time horizons, liquidity needs and risk tolerance before investing in the Fund’s securities. An investment in the Fund’s securities may be speculative in that it involves a high degree of risk and should not be considered a complete investment program. The Fund is designed primarily as a long-term investment vehicle, and its securities are not an appropriate investment for a short-term trading strategy. There can be no assurance that returns, if any, on the Fund’s investments will be commensurate with the risk of investment in the Fund, nor can the Fund provide any assurance that enough appropriate investments that meet its investment criteria will be available.</w:t>
      </w:r>
    </w:p>
    <w:p>
      <w:pPr>
        <w:spacing w:after="0" w:line="135"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The following is a summary of certain principal risks of an investment in the Fund. For a more complete discussion of the risks of investing in the Fund’s securities, including certain risks not summarized below, see the Fund’s Registration Statement on Form N-2, previously filed with the SEC.</w:t>
      </w:r>
    </w:p>
    <w:p>
      <w:pPr>
        <w:spacing w:after="0" w:line="27" w:lineRule="exact"/>
        <w:rPr>
          <w:sz w:val="20"/>
          <w:szCs w:val="20"/>
          <w:color w:val="auto"/>
        </w:rPr>
      </w:pPr>
    </w:p>
    <w:p>
      <w:pPr>
        <w:ind w:left="500" w:right="60" w:hanging="330"/>
        <w:spacing w:after="0" w:line="258" w:lineRule="auto"/>
        <w:tabs>
          <w:tab w:leader="none" w:pos="4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CLO Investments. The Fund primarily invests in corporate CLOs, which are structured credit securities backed primarily by pools of corporate loans. CLOs involve multiple layers of risk, including exposure to the creditworthiness of the underlying corporate borrowers, potential defaults, and subordination within the CLO capital structure. The Fund’s focus on mezzanine debt and equity tranches increases its exposure to losses relative to investments in more senior CLO tranches. In addition, CLO investments involve complex documentation and accounting considerations, which increase the likelihood of accounting errors or restatement.</w:t>
      </w:r>
    </w:p>
    <w:p>
      <w:pPr>
        <w:spacing w:after="0" w:line="48" w:lineRule="exact"/>
        <w:rPr>
          <w:rFonts w:ascii="Times New Roman" w:cs="Times New Roman" w:eastAsia="Times New Roman" w:hAnsi="Times New Roman"/>
          <w:sz w:val="18"/>
          <w:szCs w:val="18"/>
          <w:color w:val="auto"/>
        </w:rPr>
      </w:pPr>
    </w:p>
    <w:p>
      <w:pPr>
        <w:ind w:left="500" w:hanging="330"/>
        <w:spacing w:after="0" w:line="261" w:lineRule="auto"/>
        <w:tabs>
          <w:tab w:leader="none" w:pos="4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and Default Risk. The underlying corporate loans in the Fund’s CLO investments may be issued by highly leveraged borrowers with a heightened risk of default, particularly in times of economic downturns, rising interest rates, or sector-specific distress. If the credit performance of these borrowers deteriorates, the value of the Fund’s CLO investments could decline significantly, leading to a material adverse impact on the Fund’s financial condition and ability to distribute dividends.</w:t>
      </w:r>
    </w:p>
    <w:p>
      <w:pPr>
        <w:spacing w:after="0" w:line="44" w:lineRule="exact"/>
        <w:rPr>
          <w:rFonts w:ascii="Times New Roman" w:cs="Times New Roman" w:eastAsia="Times New Roman" w:hAnsi="Times New Roman"/>
          <w:sz w:val="18"/>
          <w:szCs w:val="18"/>
          <w:color w:val="auto"/>
        </w:rPr>
      </w:pPr>
    </w:p>
    <w:p>
      <w:pPr>
        <w:ind w:left="500" w:right="60" w:hanging="330"/>
        <w:spacing w:after="0" w:line="256" w:lineRule="auto"/>
        <w:tabs>
          <w:tab w:leader="none" w:pos="4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Subordination Risk. The Fund’s investments in CLO equity and mezzanine debt securities are structurally subordinated to more senior CLO debt tranches, meaning that cash flows and recoveries are distributed to senior tranches before reaching subordinated investors. As a result, CLO equity and mezzanine debt securities are subject to an increased risk of loss, particularly in the event of defaults or underperformance in the underlying corporate loans. Additionally, at the time of issuance, CLO equity securities are typically under-collateralized, as the total face amount of CLO liabilities plus the issuance price of the CLO equity securities typically exceeds the value of the CLO’s assets, further increasing the risk of principal impairment on the CLO’s subordinated debt and equity securities.</w:t>
      </w:r>
    </w:p>
    <w:p>
      <w:pPr>
        <w:spacing w:after="0" w:line="52" w:lineRule="exact"/>
        <w:rPr>
          <w:rFonts w:ascii="Times New Roman" w:cs="Times New Roman" w:eastAsia="Times New Roman" w:hAnsi="Times New Roman"/>
          <w:sz w:val="18"/>
          <w:szCs w:val="18"/>
          <w:color w:val="auto"/>
        </w:rPr>
      </w:pPr>
    </w:p>
    <w:p>
      <w:pPr>
        <w:ind w:left="500" w:right="100" w:hanging="330"/>
        <w:spacing w:after="0" w:line="266" w:lineRule="auto"/>
        <w:tabs>
          <w:tab w:leader="none" w:pos="4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Market Volatility. CLO securities are often illiquid and trade in limited markets with relatively low transparency. Market volatility, particularly in stressed economic environments, could result in significant price fluctuations and valuation challenges. If the Fund needs to liquidate assets to meet obligations, it may be forced to sell holdings at depressed prices, potentially leading to realized losses.</w:t>
      </w:r>
    </w:p>
    <w:p>
      <w:pPr>
        <w:spacing w:after="0" w:line="40" w:lineRule="exact"/>
        <w:rPr>
          <w:rFonts w:ascii="Times New Roman" w:cs="Times New Roman" w:eastAsia="Times New Roman" w:hAnsi="Times New Roman"/>
          <w:sz w:val="18"/>
          <w:szCs w:val="18"/>
          <w:color w:val="auto"/>
        </w:rPr>
      </w:pPr>
    </w:p>
    <w:p>
      <w:pPr>
        <w:ind w:left="500" w:right="220" w:hanging="330"/>
        <w:spacing w:after="0" w:line="261" w:lineRule="auto"/>
        <w:tabs>
          <w:tab w:leader="none" w:pos="4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 and Managerial Risks of CLOs. The performance of CLO securities depends not only on the credit performance of the underlying loans but also on the decisions of the CLO collateral managers. These CLO collateral managers have significant discretion in selecting, trading, and managing underlying loans, which may not always align with the interests of CLO investors such as the Fund. Additionally, certain CLOs are not subject to regulatory oversight, which may limit investors’ rights in instances of mismanagement or conflicts of interest.</w:t>
      </w:r>
    </w:p>
    <w:p>
      <w:pPr>
        <w:spacing w:after="0" w:line="44" w:lineRule="exact"/>
        <w:rPr>
          <w:rFonts w:ascii="Times New Roman" w:cs="Times New Roman" w:eastAsia="Times New Roman" w:hAnsi="Times New Roman"/>
          <w:sz w:val="18"/>
          <w:szCs w:val="18"/>
          <w:color w:val="auto"/>
        </w:rPr>
      </w:pPr>
    </w:p>
    <w:p>
      <w:pPr>
        <w:ind w:left="500" w:right="60" w:hanging="330"/>
        <w:spacing w:after="0" w:line="268" w:lineRule="auto"/>
        <w:tabs>
          <w:tab w:leader="none" w:pos="49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Leverage and Financing Risks. The Fund employs leverage through reverse repurchase agreements, credit facilities, and other forms of borrowing, which can magnify potential losses. Further, the Fund is exposed to leverage indirectly through its investments, such as CLO equity securities which are structurally subordinate to the CLO debt tranches, which also magnify the Fund’s risk of loss. The CLO equity securities in which the Fund invests are highly leveraged, with debt-to-equity ratios typically ranging from eight to sixteen times. Additionally, the loan accumulation facilities (“LAFs”) in which the Fund intends to invest are also highly leveraged, with debt-to-equity ratios typically ranging from three to six times prior to a CLO’s pricing. Accordingly, the Fund’s investments in CLO equity and certain other credit investments will expose it to substantial indirect leverage, which magnifies the risk of significant or total loss. Market disruptions, margin calls, or increases in financing costs could force the Fund to sell assets at unfavorable prices, exacerbating losses. The use of leverage increases the Fund’s volatility and could lead to liquidity constraints.</w:t>
      </w:r>
    </w:p>
    <w:p>
      <w:pPr>
        <w:ind w:left="500" w:right="160" w:hanging="330"/>
        <w:spacing w:after="0" w:line="253" w:lineRule="auto"/>
        <w:tabs>
          <w:tab w:leader="none" w:pos="4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Risk. The Fund’s investments are sensitive to fluctuations in interest rates, which may impact the value of its CLO securities and cash flow distributions. While most CLO mezzanine debt investments have floating-rate coupons, mismatches between the timing and structure of interest rate resets in CLO liabilities and underlying corporate loans can reduce excess interest available for CLO equity and mezzanine debt tranches. Rising interest rates can also increase funding costs for corporate borrowers, heightening default risks and negatively affecting CLO collateral performance.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089" w:right="339" w:bottom="1440" w:gutter="0" w:footer="0" w:header="0"/>
        </w:sectPr>
      </w:pPr>
    </w:p>
    <w:bookmarkStart w:id="43" w:name="page44"/>
    <w:bookmarkEnd w:id="43"/>
    <w:p>
      <w:pPr>
        <w:ind w:left="330"/>
        <w:spacing w:after="0"/>
        <w:rPr>
          <w:sz w:val="20"/>
          <w:szCs w:val="20"/>
          <w:color w:val="auto"/>
        </w:rPr>
      </w:pPr>
      <w:r>
        <w:rPr>
          <w:rFonts w:ascii="Times New Roman" w:cs="Times New Roman" w:eastAsia="Times New Roman" w:hAnsi="Times New Roman"/>
          <w:sz w:val="18"/>
          <w:szCs w:val="18"/>
          <w:color w:val="auto"/>
        </w:rPr>
        <w:t>Additionally, fixed-rate assets within CLOs may decline in value as interest rates rise, leading to potential mark-to-market losses for the Fund.</w:t>
      </w:r>
    </w:p>
    <w:p>
      <w:pPr>
        <w:spacing w:after="0" w:line="27" w:lineRule="exact"/>
        <w:rPr>
          <w:sz w:val="20"/>
          <w:szCs w:val="20"/>
          <w:color w:val="auto"/>
        </w:rPr>
      </w:pPr>
    </w:p>
    <w:p>
      <w:pPr>
        <w:ind w:left="330" w:right="80" w:hanging="330"/>
        <w:spacing w:after="0" w:line="250" w:lineRule="auto"/>
        <w:tabs>
          <w:tab w:leader="none" w:pos="32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Reinvestment and Prepayment Risk. CLO collateral managers reinvest cash flows from asset repayments and sales into substitute assets, but if these assets generate lower yields than the original investments, cash flows available to CLO mezzanine debt and equity tranches may decline. Additionally, prepayment rates on underlying loans are influenced by factors beyond the Fund’s control, such as changes in market conditions. CLO debt investors also face the risk that a majority of CLO equity holders may direct a call or refinancing, leading to early repayment of CLO debt securities at par, creating uncertainty around the expected investment duration and cash flows.</w:t>
      </w:r>
    </w:p>
    <w:p>
      <w:pPr>
        <w:spacing w:after="0" w:line="1" w:lineRule="exact"/>
        <w:rPr>
          <w:rFonts w:ascii="Times New Roman" w:cs="Times New Roman" w:eastAsia="Times New Roman" w:hAnsi="Times New Roman"/>
          <w:sz w:val="18"/>
          <w:szCs w:val="18"/>
          <w:color w:val="auto"/>
        </w:rPr>
      </w:pPr>
    </w:p>
    <w:p>
      <w:pPr>
        <w:ind w:left="330" w:right="140" w:hanging="330"/>
        <w:spacing w:after="0" w:line="250" w:lineRule="auto"/>
        <w:tabs>
          <w:tab w:leader="none" w:pos="32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Accumulation Facility Risk. The Fund may invest in LAFs, which are short- to medium-term financing vehicles used to acquire corporate loans prior to the issuance of a CLO. These facilities are subject to market, credit, and structural risks, including the risk that the accumulated loans may not be successfully securitized into a CLO, leaving the Fund exposed to direct credit and market risks associated with holding such assets. Additionally, LAFs are highly leveraged, and have debt-to-equity ratios typically ranging from three to six times prior to a CLO’s pricing, which amplifies losses on the underlying loans.</w:t>
      </w:r>
    </w:p>
    <w:p>
      <w:pPr>
        <w:spacing w:after="0" w:line="1" w:lineRule="exact"/>
        <w:rPr>
          <w:rFonts w:ascii="Times New Roman" w:cs="Times New Roman" w:eastAsia="Times New Roman" w:hAnsi="Times New Roman"/>
          <w:sz w:val="18"/>
          <w:szCs w:val="18"/>
          <w:color w:val="auto"/>
        </w:rPr>
      </w:pPr>
    </w:p>
    <w:p>
      <w:pPr>
        <w:ind w:left="330" w:right="20" w:hanging="330"/>
        <w:spacing w:after="0" w:line="250" w:lineRule="auto"/>
        <w:tabs>
          <w:tab w:leader="none" w:pos="32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Implementation of the Conversion. The Fund’s implementation of the Conversion involved significant changes across its operations, accounting, legal, compliance, and investment activities, each of which introduces material risks that could adversely affect the Fund’s business, financial condition, and ability to pay dividends. These risks include increased operational burdens and counterparty limitations due to new regulatory requirements such as bank custody rules; uncertainty surrounding the change in the Fund’s tax year, which could delay its qualification as a RIC and require continued operation as a taxable C-Corporation; unanticipated tax liabilities or structural inefficiencies arising from the Conversion or future changes in tax law or IRS guidance; disruptions, compliance issues, or cost increases from transitioning to investment company accounting and modifying internal systems and third-party arrangements; and additional legal and regulatory compliance challenges, including adapting to the requirements of the 1940 Act, new reporting obligations, and implementing its derivatives risk management program. The Fund’s failure to successfully manage any of these changes could materially adversely affect the Fund’s business, financial condition, results, and its operations, including, its NAV, tax status, and regulatory. standing, and could expose it to SEC enforcement actions, reputational damage, or limitations on future capital raising</w:t>
      </w:r>
    </w:p>
    <w:p>
      <w:pPr>
        <w:spacing w:after="0" w:line="4" w:lineRule="exact"/>
        <w:rPr>
          <w:rFonts w:ascii="Times New Roman" w:cs="Times New Roman" w:eastAsia="Times New Roman" w:hAnsi="Times New Roman"/>
          <w:sz w:val="18"/>
          <w:szCs w:val="18"/>
          <w:color w:val="auto"/>
        </w:rPr>
      </w:pPr>
    </w:p>
    <w:p>
      <w:pPr>
        <w:ind w:left="330" w:right="300" w:hanging="330"/>
        <w:spacing w:after="0" w:line="250" w:lineRule="auto"/>
        <w:tabs>
          <w:tab w:leader="none" w:pos="32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 Risk. The Fund may use derivative instruments, including swaps, options, futures, and reverse repurchase agreements, which can be highly volatile and present risks different from or greater than those associated with other investments. These risks include counterparty risk, liquidity risk, leverage risk, and valuation complexities. Small investments in derivatives may exert disproportionate influence on the Fund’s performance, creating leveraged exposure that magnifies losses. In certain transactions, the Fund could lose its entire investment, while in others, potential losses could be theoretically unlimited. Additionally, there is no guarantee that the Fund’s use of derivatives for hedging or risk management will be effective, and in some cases, these strategies may fail to achieve their intended objectives or may even increase the Fund’s exposure to certain risks.</w:t>
      </w:r>
    </w:p>
    <w:p>
      <w:pPr>
        <w:spacing w:after="0" w:line="2" w:lineRule="exact"/>
        <w:rPr>
          <w:rFonts w:ascii="Times New Roman" w:cs="Times New Roman" w:eastAsia="Times New Roman" w:hAnsi="Times New Roman"/>
          <w:sz w:val="18"/>
          <w:szCs w:val="18"/>
          <w:color w:val="auto"/>
        </w:rPr>
      </w:pPr>
    </w:p>
    <w:p>
      <w:pPr>
        <w:ind w:left="330" w:right="60" w:hanging="330"/>
        <w:spacing w:after="0" w:line="250" w:lineRule="auto"/>
        <w:tabs>
          <w:tab w:leader="none" w:pos="32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Risk. The Fund is exposed to the risk that counterparties to derivatives, including reverse repurchase agreements, or other financial instruments may fail to perform their contractual obligations. A counterparty’s default or financial deterioration could result in significant losses to the Fund, particularly in times of market stress when counterparty risk is heightened. Additionally, certain CLOs in which the Fund invests may rely on counterparties for liquidity and credit support, and any failure of these counterparties could negatively impact the Fund’s investments.</w:t>
      </w:r>
    </w:p>
    <w:p>
      <w:pPr>
        <w:spacing w:after="0" w:line="1" w:lineRule="exact"/>
        <w:rPr>
          <w:rFonts w:ascii="Times New Roman" w:cs="Times New Roman" w:eastAsia="Times New Roman" w:hAnsi="Times New Roman"/>
          <w:sz w:val="18"/>
          <w:szCs w:val="18"/>
          <w:color w:val="auto"/>
        </w:rPr>
      </w:pPr>
    </w:p>
    <w:p>
      <w:pPr>
        <w:ind w:left="330" w:right="780" w:hanging="330"/>
        <w:spacing w:after="0" w:line="250" w:lineRule="auto"/>
        <w:tabs>
          <w:tab w:leader="none" w:pos="32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Risks. Changes in U.S. and international regulations, such as risk retention rules, Volcker Rule provisions, and tax withholding requirements, may affect the market for CLOs and the Fund’s ability to implement its investment strategy</w:t>
      </w:r>
    </w:p>
    <w:p>
      <w:pPr>
        <w:ind w:left="330" w:hanging="330"/>
        <w:spacing w:after="0" w:line="250" w:lineRule="auto"/>
        <w:tabs>
          <w:tab w:leader="none" w:pos="32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Fund’s RIC Status. The Fund intends to qualify and maintain its status as a regulated investment company (RIC) under Subchapter M of the Internal Revenue Code. If the Fund qualifies as a RIC, it generally will not be subject to corporate-level U.S. federal income tax on its distributed income and capital gains. However, there is no assurance that the Fund will meet the income, asset diversification, and distribution requirements necessary to maintain its RIC status. Failure to qualify as a RIC would subject the Fund to corporate-level taxation, which could significantly reduce the Fund’s net returns and the cash available for distributions to shareholders and significantly impact its share price.</w:t>
      </w:r>
    </w:p>
    <w:p>
      <w:pPr>
        <w:spacing w:after="0" w:line="1" w:lineRule="exact"/>
        <w:rPr>
          <w:rFonts w:ascii="Times New Roman" w:cs="Times New Roman" w:eastAsia="Times New Roman" w:hAnsi="Times New Roman"/>
          <w:sz w:val="18"/>
          <w:szCs w:val="18"/>
          <w:color w:val="auto"/>
        </w:rPr>
      </w:pPr>
    </w:p>
    <w:p>
      <w:pPr>
        <w:ind w:left="330" w:right="80" w:hanging="330"/>
        <w:spacing w:after="0" w:line="252" w:lineRule="auto"/>
        <w:tabs>
          <w:tab w:leader="none" w:pos="32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of Interest and Adviser Management Fee Risk. The Fund is externally managed by its Adviser, which is entitled to a base management fee and a performance fee based on the Fund’s income, creating potential conflicts of interest. The base management fee is calculated based on total equity capital, and the performance fee would be expected to increase with an increase in total equity capital, so the Adviser may have an incentive to recommend to the Board (which includes interested trustees) that the Fund issue additional equity securities. These offerings of equity securities may, among other things, dilute the common share holdings of the existing shareholders, and adversely affect the market price of the Fund’s common shares. The performance fee is calculated quarterly based on the Fund’s pre-performance fee net investment income, without considering realized or unrealized capital losses. As a result, the Adviser may have</w:t>
      </w:r>
    </w:p>
    <w:p>
      <w:pPr>
        <w:spacing w:after="0" w:line="200" w:lineRule="exact"/>
        <w:rPr>
          <w:sz w:val="20"/>
          <w:szCs w:val="20"/>
          <w:color w:val="auto"/>
        </w:rPr>
      </w:pPr>
    </w:p>
    <w:p>
      <w:pPr>
        <w:spacing w:after="0" w:line="366"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70"/>
          </w:cols>
          <w:pgMar w:left="490" w:top="931" w:right="339" w:bottom="1440" w:gutter="0" w:footer="0" w:header="0"/>
        </w:sectPr>
      </w:pPr>
    </w:p>
    <w:bookmarkStart w:id="44" w:name="page45"/>
    <w:bookmarkEnd w:id="44"/>
    <w:p>
      <w:pPr>
        <w:ind w:left="330" w:right="100"/>
        <w:spacing w:after="0" w:line="258" w:lineRule="auto"/>
        <w:rPr>
          <w:sz w:val="20"/>
          <w:szCs w:val="20"/>
          <w:color w:val="auto"/>
        </w:rPr>
      </w:pPr>
      <w:r>
        <w:rPr>
          <w:rFonts w:ascii="Times New Roman" w:cs="Times New Roman" w:eastAsia="Times New Roman" w:hAnsi="Times New Roman"/>
          <w:sz w:val="18"/>
          <w:szCs w:val="18"/>
          <w:color w:val="auto"/>
        </w:rPr>
        <w:t>an incentive to take on higher-risk investments or use leverage to increase income, potentially leading to greater investment losses, particularly during periods of market volatility or economic downturns. The Fund’s performance fee structure does not include a high-water mark or cumulative loss carryforward mechanism, meaning the Adviser could receive performance-based compensation even if the Fund experiences net losses over time. Additionally, because the hurdle rate for performance fees does not adjust with prevailing interest rates, periods of rising interest rates may make it easier for the Adviser to earn a performance fee, even if shareholder returns do not improve correspondingly.</w:t>
      </w:r>
    </w:p>
    <w:p>
      <w:pPr>
        <w:spacing w:after="0" w:line="48" w:lineRule="exact"/>
        <w:rPr>
          <w:sz w:val="20"/>
          <w:szCs w:val="20"/>
          <w:color w:val="auto"/>
        </w:rPr>
      </w:pPr>
    </w:p>
    <w:p>
      <w:pPr>
        <w:ind w:left="330" w:right="40" w:hanging="330"/>
        <w:spacing w:after="0" w:line="261" w:lineRule="auto"/>
        <w:tabs>
          <w:tab w:leader="none" w:pos="32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Adviser’s Discretion and Limited Shareholder Oversight. The Adviser has broad discretion in managing the Fund’s portfolio, and the Board does not review each individual investment decision. As a result, the Adviser’s strategic allocation, use of leverage, or risk-taking decisions could negatively impact the Fund’s performance, liquidity, and ability to meet distribution requirements. Shareholders have limited ability to influence the Adviser’s decision-making and compensation arrangements.</w:t>
      </w:r>
    </w:p>
    <w:p>
      <w:pPr>
        <w:spacing w:after="0" w:line="44" w:lineRule="exact"/>
        <w:rPr>
          <w:rFonts w:ascii="Times New Roman" w:cs="Times New Roman" w:eastAsia="Times New Roman" w:hAnsi="Times New Roman"/>
          <w:sz w:val="18"/>
          <w:szCs w:val="18"/>
          <w:color w:val="auto"/>
        </w:rPr>
      </w:pPr>
    </w:p>
    <w:p>
      <w:pPr>
        <w:ind w:left="330" w:right="200" w:hanging="330"/>
        <w:spacing w:after="0" w:line="281" w:lineRule="auto"/>
        <w:tabs>
          <w:tab w:leader="none" w:pos="32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Key Personnel Dependency and Potential Adviser Termination. The Fund relies on key personnel of the Adviser for investment management and operational oversight. If the Adviser were to terminate its agreement or experience key personnel departures, the Fund may face challenges in implementing its investment strategy and could experience disruptions in portfolio management. Additionally, if the Fund terminates the Advisory Agreement, it may be difficult to secure a replacement adviser with comparable experience and expertise in managing CLO investments.</w:t>
      </w:r>
    </w:p>
    <w:p>
      <w:pPr>
        <w:spacing w:after="0" w:line="29" w:lineRule="exact"/>
        <w:rPr>
          <w:rFonts w:ascii="Times New Roman" w:cs="Times New Roman" w:eastAsia="Times New Roman" w:hAnsi="Times New Roman"/>
          <w:sz w:val="17"/>
          <w:szCs w:val="17"/>
          <w:color w:val="auto"/>
        </w:rPr>
      </w:pPr>
    </w:p>
    <w:p>
      <w:pPr>
        <w:ind w:left="330" w:hanging="330"/>
        <w:spacing w:after="0" w:line="253" w:lineRule="auto"/>
        <w:tabs>
          <w:tab w:leader="none" w:pos="32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and Analytics Model Risks. The Fund relies on its investment adviser and external service providers for asset selection, risk management, and valuation processes. Inaccurate asset valuations, cybersecurity breaches, operational failures, or disruptions at third-party service providers could materially impact the Fund’s performance. The Fund also depends on analytical models, both proprietary and third-party, along with external data to evaluate investment opportunities, measure risk, and value portfolio holdings. These models may be based on historical data, assumptions, or market inputs that could be incorrect, misleading, or incomplete, leading to suboptimal investment decisions, asset mispricing, and failed hedging strategies. Simplified modeling assumptions, outdated or inconsistent data, and differences in predictive methodologies among market participants may further exacerbate valuation discrepancies. Additionally, models that rely on historical market conditions may prove unreliable during periods of extreme volatility or unprecedented financial events. Errors in model-based decision-making could cause the Fund to overpay for assets, sell investments at disadvantageous prices, or miss favorable opportunities, materially impacting its financial condition and results of operations.</w:t>
      </w:r>
    </w:p>
    <w:p>
      <w:pPr>
        <w:spacing w:after="0" w:line="59" w:lineRule="exact"/>
        <w:rPr>
          <w:rFonts w:ascii="Times New Roman" w:cs="Times New Roman" w:eastAsia="Times New Roman" w:hAnsi="Times New Roman"/>
          <w:sz w:val="18"/>
          <w:szCs w:val="18"/>
          <w:color w:val="auto"/>
        </w:rPr>
      </w:pPr>
    </w:p>
    <w:p>
      <w:pPr>
        <w:ind w:left="330" w:right="200" w:hanging="330"/>
        <w:spacing w:after="0" w:line="261" w:lineRule="auto"/>
        <w:tabs>
          <w:tab w:leader="none" w:pos="32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Structure and Trading Risks. The Fund operates as a non-diversified, closed-end management investment company, meaning it may hold a concentrated portfolio and invest more heavily in certain CLOs or sectors, increasing exposure to specific risks. Additionally, shares of closed-end funds often trade at a discount to the NAV, and there is no guarantee that the Fund’s common shares will maintain market liquidity or dividend stability.</w:t>
      </w:r>
    </w:p>
    <w:p>
      <w:pPr>
        <w:spacing w:after="0" w:line="44" w:lineRule="exact"/>
        <w:rPr>
          <w:rFonts w:ascii="Times New Roman" w:cs="Times New Roman" w:eastAsia="Times New Roman" w:hAnsi="Times New Roman"/>
          <w:sz w:val="18"/>
          <w:szCs w:val="18"/>
          <w:color w:val="auto"/>
        </w:rPr>
      </w:pPr>
    </w:p>
    <w:p>
      <w:pPr>
        <w:ind w:left="330" w:right="80" w:hanging="330"/>
        <w:spacing w:after="0" w:line="270" w:lineRule="auto"/>
        <w:tabs>
          <w:tab w:leader="none" w:pos="32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Competitive Market Risk. The Fund operates in a highly competitive market, facing competition from other closed-end funds, hedge funds, private credit funds, structured credit funds, investment banks, and other institutional investors. Many of these competitors have greater financial resources, lower funding costs, and access to investment opportunities that may not be available to the Fund. Additionally, some competitors may have higher risk tolerances, allowing them to pay higher prices or pursue assets that the Fund cannot acquire due to regulatory, tax, or structural constraints.</w:t>
      </w:r>
    </w:p>
    <w:p>
      <w:pPr>
        <w:spacing w:after="0" w:line="2" w:lineRule="exact"/>
        <w:rPr>
          <w:rFonts w:ascii="Times New Roman" w:cs="Times New Roman" w:eastAsia="Times New Roman" w:hAnsi="Times New Roman"/>
          <w:sz w:val="17"/>
          <w:szCs w:val="17"/>
          <w:color w:val="auto"/>
        </w:rPr>
      </w:pPr>
    </w:p>
    <w:p>
      <w:pPr>
        <w:ind w:left="330" w:right="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Increased competition for the Fund’s targeted assets may drive up prices, limiting its ability to acquire investments at attractive yields and potentially reducing returns for shareholders.</w:t>
      </w:r>
    </w:p>
    <w:p>
      <w:pPr>
        <w:spacing w:after="0" w:line="46" w:lineRule="exact"/>
        <w:rPr>
          <w:rFonts w:ascii="Times New Roman" w:cs="Times New Roman" w:eastAsia="Times New Roman" w:hAnsi="Times New Roman"/>
          <w:sz w:val="17"/>
          <w:szCs w:val="17"/>
          <w:color w:val="auto"/>
        </w:rPr>
      </w:pPr>
    </w:p>
    <w:p>
      <w:pPr>
        <w:jc w:val="both"/>
        <w:ind w:left="330" w:right="80" w:hanging="330"/>
        <w:spacing w:after="0" w:line="261" w:lineRule="auto"/>
        <w:tabs>
          <w:tab w:leader="none" w:pos="32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Operating History Risk. The Fund has a limited track record as an externally managed, non-diversified, closed-end management investment company, making it difficult to evaluate its long-term performance. The Fund is subject to the risks and uncertainties of a newly structured business, including the potential failure to achieve its investment objectives. As the Fund transitions its portfolio from Agency MBS to CLO securities, it may temporarily hold lower-yielding investments such as cash and cash equivalents, which could reduce near-term returns.</w:t>
      </w:r>
    </w:p>
    <w:p>
      <w:pPr>
        <w:spacing w:after="0" w:line="44" w:lineRule="exact"/>
        <w:rPr>
          <w:rFonts w:ascii="Times New Roman" w:cs="Times New Roman" w:eastAsia="Times New Roman" w:hAnsi="Times New Roman"/>
          <w:sz w:val="18"/>
          <w:szCs w:val="18"/>
          <w:color w:val="auto"/>
        </w:rPr>
      </w:pPr>
    </w:p>
    <w:p>
      <w:pPr>
        <w:ind w:left="330" w:right="160" w:hanging="330"/>
        <w:spacing w:after="0" w:line="261" w:lineRule="auto"/>
        <w:tabs>
          <w:tab w:leader="none" w:pos="32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Risk. Although the Fund primarily invests in CLOs backed by U.S. assets, it may have exposure to non-U.S. CLO issuers or underlying assets denominated in foreign currencies. Fluctuations in exchange rates may adversely affect the value of these investments, and the Fund may be exposed to additional risks related to currency hedging costs, foreign tax treatment, and the enforceability of creditor rights in foreign jurisdictions.</w:t>
      </w:r>
    </w:p>
    <w:p>
      <w:pPr>
        <w:spacing w:after="0" w:line="44" w:lineRule="exact"/>
        <w:rPr>
          <w:rFonts w:ascii="Times New Roman" w:cs="Times New Roman" w:eastAsia="Times New Roman" w:hAnsi="Times New Roman"/>
          <w:sz w:val="18"/>
          <w:szCs w:val="18"/>
          <w:color w:val="auto"/>
        </w:rPr>
      </w:pPr>
    </w:p>
    <w:p>
      <w:pPr>
        <w:ind w:left="330" w:right="60" w:hanging="330"/>
        <w:spacing w:after="0" w:line="261" w:lineRule="auto"/>
        <w:tabs>
          <w:tab w:leader="none" w:pos="32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Market and Economic Conditions. The Fund’s performance is directly influenced by macroeconomic factors such as inflation, tariffs, credit market disruptions, and Federal Reserve policy changes. Economic downturns or periods of financial distress may result in widespread loan defaults, increased funding costs, and decreased investor confidence, all of which could negatively impact the Fund’s NAV and ability to generate income.</w:t>
      </w:r>
    </w:p>
    <w:p>
      <w:pPr>
        <w:spacing w:after="0" w:line="44" w:lineRule="exact"/>
        <w:rPr>
          <w:rFonts w:ascii="Times New Roman" w:cs="Times New Roman" w:eastAsia="Times New Roman" w:hAnsi="Times New Roman"/>
          <w:sz w:val="18"/>
          <w:szCs w:val="18"/>
          <w:color w:val="auto"/>
        </w:rPr>
      </w:pPr>
    </w:p>
    <w:p>
      <w:pPr>
        <w:ind w:left="330" w:right="20" w:hanging="330"/>
        <w:spacing w:after="0" w:line="266" w:lineRule="auto"/>
        <w:tabs>
          <w:tab w:leader="none" w:pos="32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Disruption Risks. The Fund’s business, financial condition, and results of operations may be adversely affected by periods of extreme market volatility, economic downturns, and disruptions in the credit markets. Factors such as inflation, tariffs, rising interest rates, Federal Reserve policy changes, geopolitical tensions, and liquidity shortages in the</w:t>
      </w:r>
    </w:p>
    <w:p>
      <w:pPr>
        <w:spacing w:after="0" w:line="200" w:lineRule="exact"/>
        <w:rPr>
          <w:sz w:val="20"/>
          <w:szCs w:val="20"/>
          <w:color w:val="auto"/>
        </w:rPr>
      </w:pPr>
    </w:p>
    <w:p>
      <w:pPr>
        <w:spacing w:after="0" w:line="354"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70"/>
          </w:cols>
          <w:pgMar w:left="490" w:top="931" w:right="339" w:bottom="1440" w:gutter="0" w:footer="0" w:header="0"/>
        </w:sectPr>
      </w:pPr>
    </w:p>
    <w:bookmarkStart w:id="45" w:name="page46"/>
    <w:bookmarkEnd w:id="45"/>
    <w:p>
      <w:pPr>
        <w:ind w:left="500"/>
        <w:spacing w:after="0" w:line="266" w:lineRule="auto"/>
        <w:rPr>
          <w:sz w:val="20"/>
          <w:szCs w:val="20"/>
          <w:color w:val="auto"/>
        </w:rPr>
      </w:pPr>
      <w:r>
        <w:rPr>
          <w:rFonts w:ascii="Times New Roman" w:cs="Times New Roman" w:eastAsia="Times New Roman" w:hAnsi="Times New Roman"/>
          <w:sz w:val="18"/>
          <w:szCs w:val="18"/>
          <w:color w:val="auto"/>
        </w:rPr>
        <w:t>corporate credit markets could result in widened credit spreads, reduced market liquidity, and increased corporate loan defaults, all of which may negatively impact the value of the Fund’s investments. In times of market stress, the Fund may face higher funding costs, reduced access to capital, and greater difficulty in liquidating assets at favorable prices.</w:t>
      </w:r>
    </w:p>
    <w:p>
      <w:pPr>
        <w:spacing w:after="0" w:line="122"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Investors should carefully review the full “Risk Factors” section of the Fund’s registration statement on Form N-2, as filed with the SEC for a more detailed discussion of these and other risks associated with an investment in the Fund. There is no guarantee that the Fund will achieve its investment objectives, and investors may lose all or a significant portion of their investment.</w:t>
      </w:r>
    </w:p>
    <w:p>
      <w:pPr>
        <w:spacing w:after="0" w:line="200" w:lineRule="exact"/>
        <w:rPr>
          <w:sz w:val="20"/>
          <w:szCs w:val="20"/>
          <w:color w:val="auto"/>
        </w:rPr>
      </w:pPr>
    </w:p>
    <w:p>
      <w:pPr>
        <w:spacing w:after="0" w:line="3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00"/>
          </w:cols>
          <w:pgMar w:left="320" w:top="1012" w:right="479" w:bottom="1440" w:gutter="0" w:footer="0" w:header="0"/>
        </w:sectPr>
      </w:pPr>
    </w:p>
    <w:bookmarkStart w:id="46" w:name="page47"/>
    <w:bookmarkEnd w:id="46"/>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Code of Ethics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information required by this item is not required in a semi-annual report on Form N-CSR.</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Audit Committee Financial Expert</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information required by this item is not required in a semi-annual report on Form N-CSR.</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information required by this item is not required in a semi-annual report on Form N-CSR.</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Audit Committee of Listed Registrant</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information required by this item is not required in a semi-annual report on Form N-CSR.</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Investments</w:t>
      </w:r>
    </w:p>
    <w:p>
      <w:pPr>
        <w:spacing w:after="0" w:line="94" w:lineRule="exact"/>
        <w:rPr>
          <w:sz w:val="20"/>
          <w:szCs w:val="20"/>
          <w:color w:val="auto"/>
        </w:rPr>
      </w:pPr>
    </w:p>
    <w:p>
      <w:pPr>
        <w:ind w:left="660" w:hanging="247"/>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schedule of investments is included in the Registrant’s Report to Shareholders under Item 1 herein.</w:t>
      </w:r>
    </w:p>
    <w:p>
      <w:pPr>
        <w:spacing w:after="0" w:line="90"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tab/>
        <w:t>Financial Statements and Financial Highlights for Open-End Management Investment Companies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for Open-End Management Investment Companies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Proxy Disclosures for Open-End Management Investment Companies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Remuneration Paid to Directors, Officers, and Others of Open-End Management Investment Companies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Statement Regarding Basis for Approval of Investment Advisory Contract</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Disclosure of Proxy Voting Policies and Procedures for Closed-End Management Investment Companies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information required by this item is not required in a semi-annual report on Form N-CSR.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Portfolio Managers of Closed-End Management Investment Companies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(a)(1) Not appliable for semi-annual reports.</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(a)(2) Not appliable for semi-annual reports.</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(a)(3) Not appliable for semi-annual reports.</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(a)(4) Not appliable for semi-annual reports.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Purchases of Equity Securities by Closed-End Management Investment Company and Affiliated Purchasers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Submission of Matters to a Vote of Security Holders</w:t>
      </w:r>
    </w:p>
    <w:p>
      <w:pPr>
        <w:spacing w:after="0" w:line="94"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the procedures by which the Shareholders may recommend nominees to the Board during the period covered by the semi-annual report included in Item 1(a) of this Form N-CSR.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Controls and Procedures</w:t>
      </w:r>
    </w:p>
    <w:p>
      <w:pPr>
        <w:spacing w:after="0" w:line="94" w:lineRule="exact"/>
        <w:rPr>
          <w:sz w:val="20"/>
          <w:szCs w:val="20"/>
          <w:color w:val="auto"/>
        </w:rPr>
      </w:pPr>
    </w:p>
    <w:p>
      <w:pPr>
        <w:ind w:left="660" w:hanging="328"/>
        <w:spacing w:after="0" w:line="258" w:lineRule="auto"/>
        <w:tabs>
          <w:tab w:leader="none" w:pos="65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an evaluation of the Disclosure Controls and Procedures (as defined in Rule 30a-3(c) under the Investment Company Act of 1940, the “Disclosure Controls”) as of a date within 90 days of the filing date (the “Filing Date”) of this Form N-CSR (the “Report”), the Chief Executive Officer (its principal executive officer) and Chief Financial Officer (its principal financial officer) have concluded that the Disclosure Controls are reasonably designed to ensure that information required to be disclosed by the Registrant in the Report is recorded, processed, summarized and reported by the Filing Date, including ensuring that information required to be disclosed in the Report is accumulated</w:t>
      </w:r>
    </w:p>
    <w:p>
      <w:pPr>
        <w:sectPr>
          <w:pgSz w:w="11900" w:h="16838" w:orient="portrait"/>
          <w:cols w:equalWidth="0" w:num="1">
            <w:col w:w="11180"/>
          </w:cols>
          <w:pgMar w:left="320" w:top="1103" w:right="39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80"/>
          </w:cols>
          <w:pgMar w:left="320" w:top="1103" w:right="399" w:bottom="1440" w:gutter="0" w:footer="0" w:header="0"/>
          <w:type w:val="continuous"/>
        </w:sectPr>
      </w:pPr>
    </w:p>
    <w:bookmarkStart w:id="47" w:name="page48"/>
    <w:bookmarkEnd w:id="47"/>
    <w:p>
      <w:pPr>
        <w:ind w:left="660" w:right="340"/>
        <w:spacing w:after="0" w:line="282" w:lineRule="auto"/>
        <w:rPr>
          <w:sz w:val="20"/>
          <w:szCs w:val="20"/>
          <w:color w:val="auto"/>
        </w:rPr>
      </w:pPr>
      <w:r>
        <w:rPr>
          <w:rFonts w:ascii="Times New Roman" w:cs="Times New Roman" w:eastAsia="Times New Roman" w:hAnsi="Times New Roman"/>
          <w:sz w:val="18"/>
          <w:szCs w:val="18"/>
          <w:color w:val="auto"/>
        </w:rPr>
        <w:t>and communicated to the Registrant’s management, including the Registrant’s principal executive officer and principal financial officer, as appropriate to allow timely decisions regarding required disclosure.</w:t>
      </w:r>
    </w:p>
    <w:p>
      <w:pPr>
        <w:spacing w:after="0" w:line="27" w:lineRule="exact"/>
        <w:rPr>
          <w:sz w:val="20"/>
          <w:szCs w:val="20"/>
          <w:color w:val="auto"/>
        </w:rPr>
      </w:pPr>
    </w:p>
    <w:p>
      <w:pPr>
        <w:jc w:val="both"/>
        <w:ind w:left="660" w:hanging="328"/>
        <w:spacing w:after="0" w:line="266" w:lineRule="auto"/>
        <w:tabs>
          <w:tab w:leader="none" w:pos="6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changes in the Registrant’s internal control over financial reporting (as defined in Rule 30a-3(d) under the Investment Company Act of 1940) that occurred during the period covered by this report that have materially affected or are reasonably likely to materially affect the Registrant’s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Disclosure of Securities Lending Activities for Closed-End Management Investment Companies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Recovery of Erroneously Awarded Compensation</w:t>
      </w:r>
    </w:p>
    <w:p>
      <w:pPr>
        <w:spacing w:after="0" w:line="94" w:lineRule="exact"/>
        <w:rPr>
          <w:sz w:val="20"/>
          <w:szCs w:val="20"/>
          <w:color w:val="auto"/>
        </w:rPr>
      </w:pPr>
    </w:p>
    <w:p>
      <w:pPr>
        <w:ind w:left="660" w:hanging="247"/>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appliable.</w:t>
      </w:r>
    </w:p>
    <w:p>
      <w:pPr>
        <w:spacing w:after="0" w:line="90"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50"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8"/>
          <w:szCs w:val="18"/>
          <w:color w:val="auto"/>
        </w:rPr>
        <w:t>Not applicable for semi-annual reports.</w:t>
      </w:r>
    </w:p>
    <w:p>
      <w:pPr>
        <w:spacing w:after="0" w:line="77"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8"/>
          <w:szCs w:val="18"/>
          <w:color w:val="auto"/>
        </w:rPr>
        <w:t>Not applicable for semi-annual reports.</w:t>
      </w:r>
    </w:p>
    <w:p>
      <w:pPr>
        <w:spacing w:after="0" w:line="77"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8"/>
          <w:szCs w:val="18"/>
          <w:color w:val="auto"/>
        </w:rPr>
        <w:t>(a)(3)</w:t>
      </w:r>
      <w:r>
        <w:rPr>
          <w:sz w:val="20"/>
          <w:szCs w:val="20"/>
          <w:color w:val="auto"/>
        </w:rPr>
        <w:tab/>
      </w:r>
      <w:r>
        <w:rPr>
          <w:rFonts w:ascii="Times New Roman" w:cs="Times New Roman" w:eastAsia="Times New Roman" w:hAnsi="Times New Roman"/>
          <w:sz w:val="18"/>
          <w:szCs w:val="18"/>
          <w:u w:val="single" w:color="auto"/>
          <w:color w:val="0000FF"/>
        </w:rPr>
        <w:t>Certifications required by Section 302 of the Sarbanes-Oxley Act of 2002 (and Item 19(a)(3) of Form N-CSR) are filed herewith.</w:t>
      </w:r>
    </w:p>
    <w:p>
      <w:pPr>
        <w:spacing w:after="0" w:line="77" w:lineRule="exact"/>
        <w:rPr>
          <w:sz w:val="20"/>
          <w:szCs w:val="20"/>
          <w:color w:val="auto"/>
        </w:rPr>
      </w:pPr>
    </w:p>
    <w:p>
      <w:pPr>
        <w:ind w:left="940" w:hanging="914"/>
        <w:spacing w:after="0"/>
        <w:tabs>
          <w:tab w:leader="none" w:pos="9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Certifications required by Section 906 of the Sarbanes-Oxley Act of 2002 (and Item 19(b) of Form N-CSR) are filed herewith.</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w:t>
      </w:r>
    </w:p>
    <w:p>
      <w:pPr>
        <w:sectPr>
          <w:pgSz w:w="11900" w:h="16838" w:orient="portrait"/>
          <w:cols w:equalWidth="0" w:num="1">
            <w:col w:w="10980"/>
          </w:cols>
          <w:pgMar w:left="320" w:top="1012" w:right="599" w:bottom="1440" w:gutter="0" w:footer="0" w:header="0"/>
        </w:sectPr>
      </w:pPr>
    </w:p>
    <w:bookmarkStart w:id="48" w:name="page49"/>
    <w:bookmarkEnd w:id="48"/>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and the Investment Company Act of 1940, the Registrant has duly caused this report to be signed by the undersigned, thereunto duly authorized.</w:t>
      </w:r>
    </w:p>
    <w:p>
      <w:pPr>
        <w:spacing w:after="0" w:line="148" w:lineRule="exact"/>
        <w:rPr>
          <w:sz w:val="20"/>
          <w:szCs w:val="20"/>
          <w:color w:val="auto"/>
        </w:rPr>
      </w:pPr>
    </w:p>
    <w:p>
      <w:pPr>
        <w:ind w:left="4400"/>
        <w:spacing w:after="0"/>
        <w:tabs>
          <w:tab w:leader="none" w:pos="5640" w:val="left"/>
        </w:tabs>
        <w:rPr>
          <w:sz w:val="20"/>
          <w:szCs w:val="20"/>
          <w:color w:val="auto"/>
        </w:rPr>
      </w:pPr>
      <w:r>
        <w:rPr>
          <w:rFonts w:ascii="Times New Roman" w:cs="Times New Roman" w:eastAsia="Times New Roman" w:hAnsi="Times New Roman"/>
          <w:sz w:val="18"/>
          <w:szCs w:val="18"/>
          <w:color w:val="auto"/>
        </w:rPr>
        <w:t>Registrant:</w:t>
      </w:r>
      <w:r>
        <w:rPr>
          <w:sz w:val="20"/>
          <w:szCs w:val="20"/>
          <w:color w:val="auto"/>
        </w:rPr>
        <w:tab/>
      </w:r>
      <w:r>
        <w:rPr>
          <w:rFonts w:ascii="Times New Roman" w:cs="Times New Roman" w:eastAsia="Times New Roman" w:hAnsi="Times New Roman"/>
          <w:sz w:val="18"/>
          <w:szCs w:val="18"/>
          <w:color w:val="auto"/>
        </w:rPr>
        <w:t>Ellington Credit Company</w:t>
      </w:r>
    </w:p>
    <w:p>
      <w:pPr>
        <w:spacing w:after="0" w:line="77" w:lineRule="exact"/>
        <w:rPr>
          <w:sz w:val="20"/>
          <w:szCs w:val="20"/>
          <w:color w:val="auto"/>
        </w:rPr>
      </w:pPr>
    </w:p>
    <w:p>
      <w:pPr>
        <w:jc w:val="center"/>
        <w:ind w:left="4060"/>
        <w:spacing w:after="0"/>
        <w:rPr>
          <w:sz w:val="20"/>
          <w:szCs w:val="20"/>
          <w:color w:val="auto"/>
        </w:rPr>
      </w:pPr>
      <w:r>
        <w:rPr>
          <w:rFonts w:ascii="Times New Roman" w:cs="Times New Roman" w:eastAsia="Times New Roman" w:hAnsi="Times New Roman"/>
          <w:sz w:val="18"/>
          <w:szCs w:val="18"/>
          <w:color w:val="auto"/>
        </w:rPr>
        <w:t>By: /s/ L</w:t>
      </w:r>
      <w:r>
        <w:rPr>
          <w:rFonts w:ascii="Times New Roman" w:cs="Times New Roman" w:eastAsia="Times New Roman" w:hAnsi="Times New Roman"/>
          <w:sz w:val="13"/>
          <w:szCs w:val="13"/>
          <w:color w:val="auto"/>
        </w:rPr>
        <w:t>AURENCE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3"/>
          <w:szCs w:val="13"/>
          <w:color w:val="auto"/>
        </w:rPr>
        <w:t>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26035</wp:posOffset>
            </wp:positionV>
            <wp:extent cx="262318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8"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Laurence Penn</w:t>
      </w:r>
    </w:p>
    <w:p>
      <w:pPr>
        <w:ind w:left="7120"/>
        <w:spacing w:after="0" w:line="219" w:lineRule="auto"/>
        <w:rPr>
          <w:sz w:val="20"/>
          <w:szCs w:val="20"/>
          <w:color w:val="auto"/>
        </w:rPr>
      </w:pPr>
      <w:r>
        <w:rPr>
          <w:rFonts w:ascii="Times New Roman" w:cs="Times New Roman" w:eastAsia="Times New Roman" w:hAnsi="Times New Roman"/>
          <w:sz w:val="18"/>
          <w:szCs w:val="18"/>
          <w:color w:val="auto"/>
        </w:rPr>
        <w:t>Chief Executive Officer</w:t>
      </w:r>
    </w:p>
    <w:p>
      <w:pPr>
        <w:ind w:left="71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Date: November 21, 2025</w:t>
      </w:r>
    </w:p>
    <w:p>
      <w:pPr>
        <w:spacing w:after="0" w:line="26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and the Investment Company Act of 1940, this report has been signed below by the following persons on behalf of the registrant and in the capacities and on the dates indicated.</w:t>
      </w:r>
    </w:p>
    <w:p>
      <w:pPr>
        <w:spacing w:after="0" w:line="148" w:lineRule="exact"/>
        <w:rPr>
          <w:sz w:val="20"/>
          <w:szCs w:val="20"/>
          <w:color w:val="auto"/>
        </w:rPr>
      </w:pPr>
    </w:p>
    <w:p>
      <w:pPr>
        <w:jc w:val="center"/>
        <w:ind w:left="4060"/>
        <w:spacing w:after="0"/>
        <w:rPr>
          <w:sz w:val="20"/>
          <w:szCs w:val="20"/>
          <w:color w:val="auto"/>
        </w:rPr>
      </w:pPr>
      <w:r>
        <w:rPr>
          <w:rFonts w:ascii="Times New Roman" w:cs="Times New Roman" w:eastAsia="Times New Roman" w:hAnsi="Times New Roman"/>
          <w:sz w:val="18"/>
          <w:szCs w:val="18"/>
          <w:color w:val="auto"/>
        </w:rPr>
        <w:t>By: /s/ L</w:t>
      </w:r>
      <w:r>
        <w:rPr>
          <w:rFonts w:ascii="Times New Roman" w:cs="Times New Roman" w:eastAsia="Times New Roman" w:hAnsi="Times New Roman"/>
          <w:sz w:val="13"/>
          <w:szCs w:val="13"/>
          <w:color w:val="auto"/>
        </w:rPr>
        <w:t>AURENCE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3"/>
          <w:szCs w:val="13"/>
          <w:color w:val="auto"/>
        </w:rPr>
        <w:t>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26035</wp:posOffset>
            </wp:positionV>
            <wp:extent cx="262318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8"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Laurence Penn</w:t>
      </w:r>
    </w:p>
    <w:p>
      <w:pPr>
        <w:ind w:left="7120"/>
        <w:spacing w:after="0" w:line="203" w:lineRule="auto"/>
        <w:rPr>
          <w:sz w:val="20"/>
          <w:szCs w:val="20"/>
          <w:color w:val="auto"/>
        </w:rPr>
      </w:pPr>
      <w:r>
        <w:rPr>
          <w:rFonts w:ascii="Times New Roman" w:cs="Times New Roman" w:eastAsia="Times New Roman" w:hAnsi="Times New Roman"/>
          <w:sz w:val="18"/>
          <w:szCs w:val="18"/>
          <w:color w:val="auto"/>
        </w:rPr>
        <w:t>Chief Executive Officer</w:t>
      </w:r>
    </w:p>
    <w:p>
      <w:pPr>
        <w:ind w:left="71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Date: November 21, 2025</w:t>
      </w:r>
    </w:p>
    <w:p>
      <w:pPr>
        <w:spacing w:after="0" w:line="7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By: /s/ C</w:t>
      </w:r>
      <w:r>
        <w:rPr>
          <w:rFonts w:ascii="Times New Roman" w:cs="Times New Roman" w:eastAsia="Times New Roman" w:hAnsi="Times New Roman"/>
          <w:sz w:val="13"/>
          <w:szCs w:val="13"/>
          <w:color w:val="auto"/>
        </w:rPr>
        <w:t>HRISTOPHER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3"/>
          <w:szCs w:val="13"/>
          <w:color w:val="auto"/>
        </w:rPr>
        <w:t>MERNOFF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17145</wp:posOffset>
            </wp:positionV>
            <wp:extent cx="262318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Christopher Smernoff</w:t>
      </w:r>
    </w:p>
    <w:p>
      <w:pPr>
        <w:ind w:left="7120"/>
        <w:spacing w:after="0" w:line="203" w:lineRule="auto"/>
        <w:rPr>
          <w:sz w:val="20"/>
          <w:szCs w:val="20"/>
          <w:color w:val="auto"/>
        </w:rPr>
      </w:pPr>
      <w:r>
        <w:rPr>
          <w:rFonts w:ascii="Times New Roman" w:cs="Times New Roman" w:eastAsia="Times New Roman" w:hAnsi="Times New Roman"/>
          <w:sz w:val="18"/>
          <w:szCs w:val="18"/>
          <w:color w:val="auto"/>
        </w:rPr>
        <w:t>Chief Financial Officer</w:t>
      </w:r>
    </w:p>
    <w:p>
      <w:pPr>
        <w:ind w:left="71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1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Date: November 21, 2025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60"/>
          </w:cols>
          <w:pgMar w:left="320" w:top="927" w:right="51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99.CERT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Laurence Penn, certify that:</w:t>
      </w:r>
    </w:p>
    <w:p>
      <w:pPr>
        <w:spacing w:after="0" w:line="171"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N-CSR of Ellington Credit Company;</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changes in net assets, and cash flows (if the financial statements are required to include a statement of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9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right="240" w:hanging="320"/>
        <w:spacing w:after="0" w:line="266" w:lineRule="auto"/>
        <w:tabs>
          <w:tab w:leader="none" w:pos="129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121" w:lineRule="exact"/>
        <w:rPr>
          <w:rFonts w:ascii="Times New Roman" w:cs="Times New Roman" w:eastAsia="Times New Roman" w:hAnsi="Times New Roman"/>
          <w:sz w:val="18"/>
          <w:szCs w:val="18"/>
          <w:color w:val="auto"/>
        </w:rPr>
      </w:pPr>
    </w:p>
    <w:p>
      <w:pPr>
        <w:ind w:left="1300" w:right="20" w:hanging="320"/>
        <w:spacing w:after="0" w:line="266" w:lineRule="auto"/>
        <w:tabs>
          <w:tab w:leader="none" w:pos="129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period covered by this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9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8"/>
          <w:szCs w:val="18"/>
          <w:color w:val="auto"/>
        </w:rPr>
        <w:t>Date:</w:t>
        <w:tab/>
        <w:t>November 21, 2025</w:t>
      </w:r>
    </w:p>
    <w:p>
      <w:pPr>
        <w:spacing w:after="0" w:line="2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/s/ Laurence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14605</wp:posOffset>
            </wp:positionV>
            <wp:extent cx="403733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1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Laurence Penn</w:t>
      </w:r>
    </w:p>
    <w:p>
      <w:pPr>
        <w:spacing w:after="0" w:line="1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Chief Executive Officer</w:t>
      </w:r>
    </w:p>
    <w:p>
      <w:pPr>
        <w:ind w:left="49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Smernoff, certify that:</w:t>
      </w:r>
    </w:p>
    <w:p>
      <w:pPr>
        <w:spacing w:after="0" w:line="171"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N-CSR of Ellington Credit Company;</w:t>
      </w:r>
    </w:p>
    <w:p>
      <w:pPr>
        <w:spacing w:after="0" w:line="171" w:lineRule="exact"/>
        <w:rPr>
          <w:rFonts w:ascii="Times New Roman" w:cs="Times New Roman" w:eastAsia="Times New Roman" w:hAnsi="Times New Roman"/>
          <w:sz w:val="18"/>
          <w:szCs w:val="18"/>
          <w:color w:val="auto"/>
        </w:rPr>
      </w:pPr>
    </w:p>
    <w:p>
      <w:pPr>
        <w:jc w:val="both"/>
        <w:ind w:left="660" w:right="100" w:hanging="328"/>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changes in net assets, and cash flows (if the financial statements are required to include a statement of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121" w:lineRule="exact"/>
        <w:rPr>
          <w:rFonts w:ascii="Times New Roman" w:cs="Times New Roman" w:eastAsia="Times New Roman" w:hAnsi="Times New Roman"/>
          <w:sz w:val="18"/>
          <w:szCs w:val="18"/>
          <w:color w:val="auto"/>
        </w:rPr>
      </w:pPr>
    </w:p>
    <w:p>
      <w:pPr>
        <w:ind w:left="1300" w:right="100" w:hanging="320"/>
        <w:spacing w:after="0" w:line="266" w:lineRule="auto"/>
        <w:tabs>
          <w:tab w:leader="none" w:pos="129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20" w:hanging="320"/>
        <w:spacing w:after="0" w:line="266" w:lineRule="auto"/>
        <w:tabs>
          <w:tab w:leader="none" w:pos="129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29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121" w:lineRule="exact"/>
        <w:rPr>
          <w:rFonts w:ascii="Times New Roman" w:cs="Times New Roman" w:eastAsia="Times New Roman" w:hAnsi="Times New Roman"/>
          <w:sz w:val="18"/>
          <w:szCs w:val="18"/>
          <w:color w:val="auto"/>
        </w:rPr>
      </w:pPr>
    </w:p>
    <w:p>
      <w:pPr>
        <w:ind w:left="1300" w:hanging="320"/>
        <w:spacing w:after="0" w:line="266" w:lineRule="auto"/>
        <w:tabs>
          <w:tab w:leader="none" w:pos="129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period covered by this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40" w:hanging="320"/>
        <w:spacing w:after="0" w:line="282" w:lineRule="auto"/>
        <w:tabs>
          <w:tab w:leader="none" w:pos="129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20" w:hanging="320"/>
        <w:spacing w:after="0" w:line="282" w:lineRule="auto"/>
        <w:tabs>
          <w:tab w:leader="none" w:pos="129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8"/>
          <w:szCs w:val="18"/>
          <w:color w:val="auto"/>
        </w:rPr>
        <w:t>Date:</w:t>
        <w:tab/>
        <w:t>November 21, 2025</w:t>
      </w:r>
    </w:p>
    <w:p>
      <w:pPr>
        <w:spacing w:after="0" w:line="2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/s/ Christopher Smernoff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14605</wp:posOffset>
            </wp:positionV>
            <wp:extent cx="403733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1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Christopher Smernoff</w:t>
      </w:r>
    </w:p>
    <w:p>
      <w:pPr>
        <w:spacing w:after="0" w:line="1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Chief Financial Officer</w:t>
      </w:r>
    </w:p>
    <w:p>
      <w:pPr>
        <w:ind w:left="49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20"/>
          </w:cols>
          <w:pgMar w:left="320" w:top="1089" w:right="35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99.906CERT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connection with the Report on Form N-CSR for the six-month period ended September 30, 2025 (the “Report”) of Ellington Credit Company (the “Registrant”), as filed with the Securities and Exchange Commission on the date hereof, I, Laurence Penn, the Chief Executive Officer of the Registrant, hereby certify, to the best of my knowledge, that:</w:t>
      </w:r>
    </w:p>
    <w:p>
      <w:pPr>
        <w:spacing w:after="0" w:line="122" w:lineRule="exact"/>
        <w:rPr>
          <w:sz w:val="20"/>
          <w:szCs w:val="20"/>
          <w:color w:val="auto"/>
        </w:rPr>
      </w:pPr>
    </w:p>
    <w:p>
      <w:pPr>
        <w:ind w:left="640" w:hanging="308"/>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44"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8"/>
          <w:szCs w:val="18"/>
          <w:color w:val="auto"/>
        </w:rPr>
        <w:t>Date:</w:t>
        <w:tab/>
        <w:t>November 21, 2025</w:t>
      </w:r>
    </w:p>
    <w:p>
      <w:pPr>
        <w:spacing w:after="0" w:line="2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/s/ Laurence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14605</wp:posOffset>
            </wp:positionV>
            <wp:extent cx="403733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037330" cy="8890"/>
                    </a:xfrm>
                    <a:prstGeom prst="rect">
                      <a:avLst/>
                    </a:prstGeom>
                    <a:noFill/>
                  </pic:spPr>
                </pic:pic>
              </a:graphicData>
            </a:graphic>
          </wp:anchor>
        </w:drawing>
      </w:r>
    </w:p>
    <w:p>
      <w:pPr>
        <w:spacing w:after="0" w:line="1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Laurence Penn</w:t>
      </w:r>
    </w:p>
    <w:p>
      <w:pPr>
        <w:spacing w:after="0" w:line="1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Chief Executive Officer</w:t>
      </w:r>
    </w:p>
    <w:p>
      <w:pPr>
        <w:ind w:left="49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In connection with the Report on Form N-CSR for the six-month period ended September 30, 2025 (the “Report”) of Ellington Credit Company (the “Registrant”), as filed with the Securities and Exchange Commission on the date hereof, I, Christopher Smernoff, the Chief Financial Officer of the Registrant, hereby certify, to the best of my knowledge, that:</w:t>
      </w:r>
    </w:p>
    <w:p>
      <w:pPr>
        <w:spacing w:after="0" w:line="122" w:lineRule="exact"/>
        <w:rPr>
          <w:sz w:val="20"/>
          <w:szCs w:val="20"/>
          <w:color w:val="auto"/>
        </w:rPr>
      </w:pPr>
    </w:p>
    <w:p>
      <w:pPr>
        <w:ind w:left="640" w:hanging="30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44"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8"/>
          <w:szCs w:val="18"/>
          <w:color w:val="auto"/>
        </w:rPr>
        <w:t>Date:</w:t>
        <w:tab/>
        <w:t>November 21, 2025</w:t>
      </w:r>
    </w:p>
    <w:p>
      <w:pPr>
        <w:spacing w:after="0" w:line="2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/s/ Christopher Smernoff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14605</wp:posOffset>
            </wp:positionV>
            <wp:extent cx="403733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1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Christopher Smernoff</w:t>
      </w:r>
    </w:p>
    <w:p>
      <w:pPr>
        <w:spacing w:after="0" w:line="1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Chief Financial Officer</w:t>
      </w:r>
    </w:p>
    <w:p>
      <w:pPr>
        <w:ind w:left="490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1">
    <w:nsid w:val="2D1D5AE9"/>
    <w:multiLevelType w:val="hybridMultilevel"/>
    <w:lvl w:ilvl="0">
      <w:lvlJc w:val="left"/>
      <w:lvlText w:val="2"/>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3"/>
      <w:numFmt w:val="bullet"/>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decimal"/>
      <w:start w:val="7"/>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1)"/>
      <w:numFmt w:val="decimal"/>
      <w:start w:val="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1."/>
      <w:numFmt w:val="decimal"/>
      <w:start w:val="2"/>
    </w:lvl>
    <w:lvl w:ilvl="1">
      <w:lvlJc w:val="left"/>
      <w:lvlText w:val="(%2)"/>
      <w:numFmt w:val="upperLetter"/>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lvl w:ilvl="1">
      <w:lvlJc w:val="left"/>
      <w:lvlText w:val="(%2)"/>
      <w:numFmt w:val="upperLetter"/>
      <w:start w:val="2"/>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1)"/>
      <w:numFmt w:val="upperLetter"/>
      <w:start w:val="3"/>
    </w:lvl>
  </w:abstractNum>
  <w:abstractNum w:abstractNumId="17">
    <w:nsid w:val="7C3DBD3D"/>
    <w:multiLevelType w:val="hybridMultilevel"/>
    <w:lvl w:ilvl="0">
      <w:lvlJc w:val="left"/>
      <w:lvlText w:val="(%1)"/>
      <w:numFmt w:val="upperLetter"/>
      <w:start w:val="5"/>
    </w:lvl>
  </w:abstractNum>
  <w:abstractNum w:abstractNumId="18">
    <w:nsid w:val="737B8DDC"/>
    <w:multiLevelType w:val="hybridMultilevel"/>
    <w:lvl w:ilvl="0">
      <w:lvlJc w:val="left"/>
      <w:lvlText w:val="(%1)"/>
      <w:numFmt w:val="upperLetter"/>
      <w:start w:val="6"/>
    </w:lvl>
  </w:abstractNum>
  <w:abstractNum w:abstractNumId="19">
    <w:nsid w:val="6CEAF087"/>
    <w:multiLevelType w:val="hybridMultilevel"/>
    <w:lvl w:ilvl="0">
      <w:lvlJc w:val="left"/>
      <w:lvlText w:val="(%1)"/>
      <w:numFmt w:val="upperLetter"/>
      <w:start w:val="9"/>
    </w:lvl>
  </w:abstractNum>
  <w:abstractNum w:abstractNumId="20">
    <w:nsid w:val="22221A70"/>
    <w:multiLevelType w:val="hybridMultilevel"/>
    <w:lvl w:ilvl="0">
      <w:lvlJc w:val="left"/>
      <w:lvlText w:val="%1"/>
      <w:numFmt w:val="lowerRoman"/>
      <w:start w:val="1"/>
    </w:lvl>
    <w:lvl w:ilvl="1">
      <w:lvlJc w:val="left"/>
      <w:lvlText w:val="(%2)"/>
      <w:numFmt w:val="upperLetter"/>
      <w:start w:val="12"/>
    </w:lvl>
  </w:abstractNum>
  <w:abstractNum w:abstractNumId="21">
    <w:nsid w:val="4516DDE9"/>
    <w:multiLevelType w:val="hybridMultilevel"/>
    <w:lvl w:ilvl="0">
      <w:lvlJc w:val="left"/>
      <w:lvlText w:val="(%1)"/>
      <w:numFmt w:val="lowerRoman"/>
      <w:start w:val="2"/>
    </w:lvl>
    <w:lvl w:ilvl="1">
      <w:lvlJc w:val="left"/>
      <w:lvlText w:val="(%2)"/>
      <w:numFmt w:val="upperLetter"/>
      <w:start w:val="14"/>
    </w:lvl>
  </w:abstractNum>
  <w:abstractNum w:abstractNumId="22">
    <w:nsid w:val="3006C83E"/>
    <w:multiLevelType w:val="hybridMultilevel"/>
    <w:lvl w:ilvl="0">
      <w:lvlJc w:val="left"/>
      <w:lvlText w:val="(%1)"/>
      <w:numFmt w:val="upperLetter"/>
      <w:start w:val="16"/>
    </w:lvl>
  </w:abstractNum>
  <w:abstractNum w:abstractNumId="23">
    <w:nsid w:val="614FD4A1"/>
    <w:multiLevelType w:val="hybridMultilevel"/>
    <w:lvl w:ilvl="0">
      <w:lvlJc w:val="left"/>
      <w:lvlText w:val="(%1)"/>
      <w:numFmt w:val="upperLetter"/>
      <w:start w:val="17"/>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8"/>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1)"/>
      <w:numFmt w:val="lowerLetter"/>
      <w:start w:val="1"/>
    </w:lvl>
  </w:abstractNum>
  <w:abstractNum w:abstractNumId="36">
    <w:nsid w:val="580BD78F"/>
    <w:multiLevelType w:val="hybridMultilevel"/>
    <w:lvl w:ilvl="0">
      <w:lvlJc w:val="left"/>
      <w:lvlText w:val="(%1)"/>
      <w:numFmt w:val="lowerLetter"/>
      <w:start w:val="1"/>
    </w:lvl>
  </w:abstractNum>
  <w:abstractNum w:abstractNumId="37">
    <w:nsid w:val="153EA438"/>
    <w:multiLevelType w:val="hybridMultilevel"/>
    <w:lvl w:ilvl="0">
      <w:lvlJc w:val="left"/>
      <w:lvlText w:val="(%1)"/>
      <w:numFmt w:val="lowerLetter"/>
      <w:start w:val="2"/>
    </w:lvl>
  </w:abstractNum>
  <w:abstractNum w:abstractNumId="38">
    <w:nsid w:val="3855585C"/>
    <w:multiLevelType w:val="hybridMultilevel"/>
    <w:lvl w:ilvl="0">
      <w:lvlJc w:val="left"/>
      <w:lvlText w:val="(%1)"/>
      <w:numFmt w:val="lowerLetter"/>
      <w:start w:val="1"/>
    </w:lvl>
  </w:abstractNum>
  <w:abstractNum w:abstractNumId="39">
    <w:nsid w:val="70A64E2A"/>
    <w:multiLevelType w:val="hybridMultilevel"/>
    <w:lvl w:ilvl="0">
      <w:lvlJc w:val="left"/>
      <w:lvlText w:val="(%1)"/>
      <w:numFmt w:val="lowerLetter"/>
      <w:start w:val="2"/>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2025-11-21T14:43:26Z</dcterms:created>
  <dcterms:modified xsi:type="dcterms:W3CDTF">2025-11-21T14:43:26Z</dcterms:modified>
</cp:coreProperties>
</file>